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Visibilidade e exclusão de empresas nas plataformas digitais</w:t>
      </w:r>
    </w:p>
    <w:p>
      <w:pPr>
        <w:pStyle w:val="Subtitle"/>
      </w:pPr>
      <w:r>
        <w:t>Vieses algorítmicos promoção comercial e políticas para pequenos médios e grandes negócios</w:t>
      </w:r>
    </w:p>
    <w:p>
      <w:pPr>
        <w:ind w:firstLine="0"/>
        <w:jc w:val="left"/>
      </w:pPr>
      <w:r>
        <w:t>Ana Maria Carvalheiro</w:t>
        <w:br/>
        <w:t>Artigo de revisão crítica e análise documental</w:t>
        <w:br/>
        <w:t>Proposta de oficina e agenda de pesquisa aplicada • 14 de outubro de 2026</w:t>
      </w:r>
    </w:p>
    <w:p>
      <w:pPr>
        <w:pStyle w:val="Heading2"/>
        <w:jc w:val="left"/>
      </w:pPr>
      <w:r>
        <w:t>Resumo</w:t>
      </w:r>
    </w:p>
    <w:p>
      <w:pPr>
        <w:jc w:val="both"/>
      </w:pPr>
      <w:r>
        <w:t>As plataformas digitais ampliam o acesso de empresas a públicos e mercados, mas distribuem oportunidades por regras de recomendação, publicidade e moderação que os negócios controlam apenas parcialmente. Este artigo investiga como empresas pequenas, médias e grandes podem ganhar visibilidade ou enfrentar exclusão, com os vieses como eixo da análise. A revisão combina levantamentos brasileiros e europeus, estudos experimentais sobre publicidade, documentos das plataformas e referências de governança. Distingue adoção digital, engajamento, resultado econômico e restrição de acesso, evitando interpretar toda queda de alcance como censura. Os estudos examinados mostram que otimização de entrega pode produzir exposição desigual e que métricas observacionais de publicidade não equivalem necessariamente a efeitos causais. Os dados descritivos revelam diferenças de canais e estruturas entre portes, sem identificar suas causas isoladamente. Propõe-se uma agenda de atuação para o Sebrae baseada em diagnóstico, experimentação proporcional, acessibilidade, contestação e diversificação de canais. O sucesso deve ser avaliado por aprendizagem, autonomia e contribuição econômica incremental, com atenção a quem permanece fora dos benefícios. Conclui-se que a inclusão digital empresarial exige capacidade de participar, compreender decisões e corrigir erros, além de presença nas redes.</w:t>
      </w:r>
    </w:p>
    <w:p>
      <w:r>
        <w:t>Palavras-chave: vieses algorítmicos; pequenos negócios; economia das plataformas; publicidade digital; Sebrae.</w:t>
      </w:r>
    </w:p>
    <w:p>
      <w:pPr>
        <w:pStyle w:val="Heading2"/>
        <w:jc w:val="left"/>
      </w:pPr>
      <w:r>
        <w:t>Contribuição e uso deste artigo</w:t>
      </w:r>
    </w:p>
    <w:p>
      <w:pPr>
        <w:jc w:val="both"/>
      </w:pPr>
      <w:r>
        <w:t xml:space="preserve">A contribuição central é tratar a inclusão empresarial como capacidade de acessar públicos, converter atenção em resultado sustentável e contestar decisões. A perspectiva de Algoritmos do Poder orienta a análise; a taxonomia da economia da criação de conteúdo distingue os agentes e suas funções; a arquitetura de agentes autônomos fundamenta o controle de ações delegadas. A proposta aplicada combina uma oficina para colaboradores do Sebrae com um piloto posterior para pequenos negócios, sujeito a pactuação institucional.</w:t>
      </w:r>
    </w:p>
    <w:p>
      <w:pPr>
        <w:pStyle w:val="Heading1"/>
        <w:pageBreakBefore/>
        <w:jc w:val="left"/>
      </w:pPr>
      <w:r>
        <w:t>1 Problema e percurso de investigação</w:t>
      </w:r>
    </w:p>
    <w:p>
      <w:pPr>
        <w:jc w:val="both"/>
      </w:pPr>
      <w:r>
        <w:t>Uma empresa pode publicar regularmente, pagar anúncios e ainda assim não alcançar as pessoas que precisam de seus produtos. Outra pode obter milhares de visualizações sem cobrir os custos de produção e atendimento. Essas situações exigem perguntas diferentes: o conteúdo foi distribuído? Atingiu um público pertinente? Houve barreira de acesso? As vendas foram adicionais? A empresa teve condições de compreender e contestar decisões? A pergunta econômica relevante é como a visibilidade se converte em oportunidades e quem suporta o custo quando essa conversão falha.</w:t>
      </w:r>
    </w:p>
    <w:p>
      <w:pPr>
        <w:jc w:val="both"/>
      </w:pPr>
      <w:r>
        <w:t>Em Algoritmos do Poder, a classificação é examinada por seus efeitos sobre o acesso a recursos e possibilidades de ação. A obra também distingue preconceito, viés e discriminação, advertindo que uma diferença estatística não esclarece, sozinha, sua causa ou sua qualificação jurídica. Este artigo aplica essa perspectiva aos negócios: a visibilidade depende de escolhas técnicas inseridas em relações econômicas e institucionais. A discussão de retroalimentação orienta o diagrama da seção 4, sem ser apresentada como modelo estimado [1].</w:t>
      </w:r>
    </w:p>
    <w:p>
      <w:pPr>
        <w:pStyle w:val="Heading2"/>
        <w:jc w:val="left"/>
      </w:pPr>
      <w:r>
        <w:t>Pergunta de pesquisa e argumento central</w:t>
      </w:r>
    </w:p>
    <w:p>
      <w:pPr>
        <w:jc w:val="both"/>
      </w:pPr>
      <w:r>
        <w:t>Como regras de distribuição, recursos empresariais e possibilidades de contestação se combinam para ampliar ou restringir oportunidades econômicas nas plataformas? Sustenta-se que a inclusão depende das condições de participação e da capacidade de corrigir decisões, além da presença digital. Três proposições orientam a investigação: otimizar engajamento não assegura distribuição socialmente adequada; mais exposição não assegura retorno econômico; e uma explicação sem possibilidade efetiva de recurso oferece capacidade limitada de ação. São proposições analíticas a testar, não resultados de pesquisa própria.</w:t>
      </w:r>
    </w:p>
    <w:p>
      <w:pPr>
        <w:pStyle w:val="Heading2"/>
        <w:jc w:val="left"/>
      </w:pPr>
      <w:r>
        <w:t>Método e limites da revisão</w:t>
      </w:r>
    </w:p>
    <w:p>
      <w:pPr>
        <w:jc w:val="both"/>
      </w:pPr>
      <w:r>
        <w:t>Foi realizada uma revisão narrativa crítica, com consulta documental até 14 de outubro de 2026. Foram priorizados Cetic.br/NIC.br, Sebrae, Eurostat, OCDE, NIST, artigos acadêmicos com método identificável, legislação em repositórios oficiais e documentação das próprias plataformas. A seleção se concentrou em porte empresarial, entrega de publicidade, mensuração de resultados, vieses e possibilidade de revisão. A seleção exigiu origem identificável e relação direta com a pergunta; promessas comerciais sem método não foram utilizadas como prova de impacto. Não houve protocolo sistemático de busca e triagem nem metanálise, e não se atribui exaustividade ao conjunto. Os trabalhos não permitem estimar a prevalência geral de silenciamento empresarial.</w:t>
      </w:r>
    </w:p>
    <w:p>
      <w:pPr>
        <w:jc w:val="both"/>
      </w:pPr>
      <w:r>
        <w:t>As evidências têm funções distintas. Pesquisas amostrais descrevem adoção e canais; experimentos permitem inferências causais dentro de suas condições; documentação corporativa informa regras declaradas; textos legais estabelecem obrigações dentro de seu âmbito. As proposições deste artigo são identificadas como interpretações, cenários ou recomendações. Resultados anteriores continuam relevantes para mecanismos, mas não descrevem automaticamente o funcionamento de sistemas em 2026.</w:t>
      </w:r>
    </w:p>
    <w:p>
      <w:pPr>
        <w:jc w:val="both"/>
      </w:pPr>
      <w:r>
        <w:t xml:space="preserve">A taxonomia multidimensional da economia da criação de conteúdo é utilizada para distinguir agente, função, formato, relação econômica, intermediação e monetização. Um criador contratado, uma agência, uma plataforma e um anunciante não são a mesma unidade de análise. Já o artigo sobre agentes autônomos contribui para a discussão de identidade, autorização e rastreabilidade das ações. Ambos são materiais autorais fornecidos para este trabalho; não são tratados como evidência empírica de desempenho de redes sociais [2–3].</w:t>
      </w:r>
    </w:p>
    <w:p>
      <w:pPr>
        <w:jc w:val="both"/>
      </w:pPr>
      <w:r>
        <w:t>A triangulação evita dois atalhos: transformar divulgação institucional em prova de impacto e transportar resultados estrangeiros diretamente para os pequenos negócios brasileiros. Estudos de publicidade com colaboração das plataformas também exigem atenção a acesso aos dados, seleção da amostra e declarações de interesse. Essas limitações acompanham a interpretação dos resultados, em vez de serem escondidas nas referências.</w:t>
      </w:r>
    </w:p>
    <w:p>
      <w:pPr>
        <w:pStyle w:val="Heading1"/>
        <w:pageBreakBefore w:val="0"/>
        <w:jc w:val="left"/>
      </w:pPr>
      <w:r>
        <w:t>2 O que os dados brasileiros permitem afirmar</w:t>
      </w:r>
    </w:p>
    <w:p>
      <w:pPr>
        <w:jc w:val="both"/>
      </w:pPr>
      <w:r>
        <w:t>A TIC Empresas 2025 ouviu 4.174 empresas, de fevereiro de 2025 a janeiro de 2026. Seu universo começa em dez pessoas ocupadas. As classes de porte são 10–49, 50–249 e 250 ou mais. A figura 1 considera somente empresas que venderam pela Internet; os canais podem coexistir. Pequenas empresas desse universo utilizam mais mensagens e redes sociais para vender, enquanto o site próprio é mais frequente entre médias e grandes. O gráfico descreve escolhas de canais, não participação no faturamento nem discriminação [4].</w:t>
      </w:r>
    </w:p>
    <w:p>
      <w:pPr>
        <w:keepNext/>
        <w:ind w:firstLine="0"/>
        <w:jc w:val="center"/>
      </w:pPr>
      <w:r>
        <w:drawing>
          <wp:inline xmlns:a="http://schemas.openxmlformats.org/drawingml/2006/main" xmlns:pic="http://schemas.openxmlformats.org/drawingml/2006/picture">
            <wp:extent cx="6080760" cy="2982264"/>
            <wp:docPr id="1" name="Picture 1" descr="Figura 1. Canais de venda on-line por porte, Brasil, 2025. Fonte: CGI.br/NIC.br, TIC Empresas 2025, indicador E2C, apresentação de resultados, p. 14. Denominador: empresas que venderam pela Internet. Respostas múltiplas. Mensagens incluem WhatsApp, Skype e chat do Facebook; redes incluem Facebook, Instagram e Snapchat. Percentuais transcritos; intervalos de confiança não reproduzidos. Não inclui empresas com menos de dez pessoas ocupadas."/>
            <wp:cNvGraphicFramePr>
              <a:graphicFrameLocks noChangeAspect="1"/>
            </wp:cNvGraphicFramePr>
            <a:graphic>
              <a:graphicData uri="http://schemas.openxmlformats.org/drawingml/2006/picture">
                <pic:pic>
                  <pic:nvPicPr>
                    <pic:cNvPr id="0" name="fig1_canais.png"/>
                    <pic:cNvPicPr/>
                  </pic:nvPicPr>
                  <pic:blipFill>
                    <a:blip r:embed="rId11"/>
                    <a:stretch>
                      <a:fillRect/>
                    </a:stretch>
                  </pic:blipFill>
                  <pic:spPr>
                    <a:xfrm>
                      <a:off x="0" y="0"/>
                      <a:ext cx="6080760" cy="2982264"/>
                    </a:xfrm>
                    <a:prstGeom prst="rect"/>
                  </pic:spPr>
                </pic:pic>
              </a:graphicData>
            </a:graphic>
          </wp:inline>
        </w:drawing>
      </w:r>
    </w:p>
    <w:p>
      <w:pPr>
        <w:pStyle w:val="Caption"/>
      </w:pPr>
      <w:r>
        <w:t>Figura 1. Canais de venda on-line por porte, Brasil, 2025. Fonte: CGI.br/NIC.br, TIC Empresas 2025, indicador E2C, apresentação de resultados, p. 14. Denominador: empresas que venderam pela Internet. Respostas múltiplas. Mensagens incluem WhatsApp, Skype e chat do Facebook; redes incluem Facebook, Instagram e Snapchat. Percentuais transcritos; intervalos de confiança não reproduzidos. Não inclui empresas com menos de dez pessoas ocupadas.</w:t>
      </w:r>
    </w:p>
    <w:p>
      <w:pPr>
        <w:jc w:val="both"/>
      </w:pPr>
      <w:r>
        <w:t>Para aproximar a discussão do público do Sebrae, a 12ª Pesquisa Pulso dos Pequenos Negócios ouviu mais de 8,2 mil empreendedores em fevereiro e março de 2026. Na divulgação consultada, 73% afirmaram usar redes sociais, aplicativos ou Internet para vendas. O levantamento inclui MEI e micro e pequenas empresas. Não se deve subtrair esse percentual dos resultados da TIC Empresas: as populações, as perguntas e as classificações diferem. A notícia institucional não oferece, no próprio texto, detalhamento suficiente para reproduzir ponderações e erros amostrais [5].</w:t>
      </w:r>
    </w:p>
    <w:p>
      <w:pPr>
        <w:jc w:val="both"/>
      </w:pPr>
      <w:r>
        <w:t>A implicação para o atendimento é uma hipótese de trabalho: negócios cuja relação com clientes passa por poucos canais precisam de continuidade operacional e organização de contatos. Para verificá-la, é necessário medir a concentração de pedidos e receita por canal em cada empresa. Ter uma conta ativa não demonstra que ela seja rentável ou substituível.</w:t>
      </w:r>
    </w:p>
    <w:p>
      <w:pPr>
        <w:pStyle w:val="Heading1"/>
        <w:pageBreakBefore w:val="0"/>
        <w:jc w:val="left"/>
      </w:pPr>
      <w:r>
        <w:t>3 Evidência internacional e comparação entre portes</w:t>
      </w:r>
    </w:p>
    <w:p>
      <w:pPr>
        <w:jc w:val="both"/>
      </w:pPr>
      <w:r>
        <w:t>Na União Europeia, o Eurostat informa que 60,59% das pequenas empresas e 89,09% das grandes utilizaram mídias sociais em 2025. A população abrange empresas com pelo menos dez pessoas empregadas ou por conta própria, em setores cobertos pela pesquisa. As classes são 10–49 e 250 ou mais, respectivamente. A diferença é de 28,50 pontos percentuais. Ela mostra uma desigualdade de adoção, sem demonstrar que o algoritmo discriminou empresas menores [6].</w:t>
      </w:r>
    </w:p>
    <w:p>
      <w:pPr>
        <w:keepNext/>
        <w:ind w:firstLine="0"/>
        <w:jc w:val="center"/>
      </w:pPr>
      <w:r>
        <w:drawing>
          <wp:inline xmlns:a="http://schemas.openxmlformats.org/drawingml/2006/main" xmlns:pic="http://schemas.openxmlformats.org/drawingml/2006/picture">
            <wp:extent cx="6080760" cy="2094178"/>
            <wp:docPr id="2" name="Picture 2" descr="Figura 2. Uso de mídias sociais por pequenas e grandes empresas na União Europeia, 2025. Fonte: Eurostat, Social media — statistics on the use by enterprises, extração de junho de 2026, base isoc_cismt. Valores exatos publicados para as duas classes selecionadas. Trata-se de uso, não de vendas ou alcance. Não comparar diretamente com os canais da figura 1."/>
            <wp:cNvGraphicFramePr>
              <a:graphicFrameLocks noChangeAspect="1"/>
            </wp:cNvGraphicFramePr>
            <a:graphic>
              <a:graphicData uri="http://schemas.openxmlformats.org/drawingml/2006/picture">
                <pic:pic>
                  <pic:nvPicPr>
                    <pic:cNvPr id="0" name="fig2_europa.png"/>
                    <pic:cNvPicPr/>
                  </pic:nvPicPr>
                  <pic:blipFill>
                    <a:blip r:embed="rId12"/>
                    <a:stretch>
                      <a:fillRect/>
                    </a:stretch>
                  </pic:blipFill>
                  <pic:spPr>
                    <a:xfrm>
                      <a:off x="0" y="0"/>
                      <a:ext cx="6080760" cy="2094178"/>
                    </a:xfrm>
                    <a:prstGeom prst="rect"/>
                  </pic:spPr>
                </pic:pic>
              </a:graphicData>
            </a:graphic>
          </wp:inline>
        </w:drawing>
      </w:r>
    </w:p>
    <w:p>
      <w:pPr>
        <w:pStyle w:val="Caption"/>
      </w:pPr>
      <w:r>
        <w:t>Figura 2. Uso de mídias sociais por pequenas e grandes empresas na União Europeia, 2025. Fonte: Eurostat, Social media — statistics on the use by enterprises, extração de junho de 2026, base isoc_cismt. Valores exatos publicados para as duas classes selecionadas. Trata-se de uso, não de vendas ou alcance. Não comparar diretamente com os canais da figura 1.</w:t>
      </w:r>
    </w:p>
    <w:p>
      <w:pPr>
        <w:jc w:val="both"/>
      </w:pPr>
      <w:r>
        <w:t>A pesquisa D4SME 2025 da OCDE ajuda a identificar obstáculos organizacionais: manutenção de tecnologias, tempo para capacitação e equipamentos aparecem entre as barreiras. Foram ouvidos 1.009 negócios em dez países, no quarto trimestre de 2024, por meio de parceiros como Amazon, Intuit, Kakao, Rakuten e Sage. O relatório adverte que os resultados não representam toda a população de pequenas e médias empresas desses países. O Brasil não integra essa amostra [7].</w:t>
      </w:r>
    </w:p>
    <w:p>
      <w:pPr>
        <w:pStyle w:val="Heading2"/>
        <w:jc w:val="left"/>
      </w:pPr>
      <w:r>
        <w:t>O porte organiza recursos mas não determina o resultado</w:t>
      </w:r>
    </w:p>
    <w:p>
      <w:pPr>
        <w:jc w:val="both"/>
      </w:pPr>
      <w:r>
        <w:t>Uma microempresa pode conhecer profundamente seus clientes e criar conteúdo pertinente com poucos recursos. Uma grande organização pode desperdiçar orçamento em tráfego sem qualidade. Porte, setor, reputação, maturidade e mercado de atuação precisam ser examinados separadamente. Uma diferença entre médias não autoriza atribuir a cada negócio as características do grupo.</w:t>
      </w:r>
    </w:p>
    <w:p>
      <w:pPr>
        <w:jc w:val="both"/>
      </w:pPr>
      <w:r>
        <w:t>No plano analítico, recursos financeiros podem ampliar o tempo disponível para testar campanhas, contratar especialistas e suportar erros. Esse mecanismo é plausível, mas não prova que o maior orçamento vença qualquer disputa por atenção. A vantagem relevante deve ser medida por resultado adicional por unidade de recurso, pela estabilidade das operações e pela capacidade de aprender. Também é preciso observar quem nem sequer conseguiu entrar no conjunto de empresas pesquisadas ou assistidas.</w:t>
      </w:r>
    </w:p>
    <w:p>
      <w:pPr>
        <w:jc w:val="both"/>
      </w:pPr>
      <w:r>
        <w:t>Os levantamentos internacionais servem como referência de desenho e comparação. Para o Brasil, a resposta exige dados locais que incluam pequenos negócios com conectividade limitada, empreendedores individuais e empresas que abandonaram plataformas. Pesquisar apenas contas ativas e casos de sucesso produz uma imagem incompleta da transformação digital.</w:t>
      </w:r>
    </w:p>
    <w:p>
      <w:pPr>
        <w:pStyle w:val="Heading1"/>
        <w:pageBreakBefore w:val="0"/>
        <w:jc w:val="left"/>
      </w:pPr>
      <w:r>
        <w:t>4 Quem exerce poder sobre a visibilidade</w:t>
      </w:r>
    </w:p>
    <w:p>
      <w:pPr>
        <w:jc w:val="both"/>
      </w:pPr>
      <w:r>
        <w:t>O controle está distribuído, mas é desigual. Plataformas definem as regras do serviço e operam sistemas de recomendação, publicidade e moderação. Anunciantes escolhem objetivos, orçamento e peças; usuários respondem, ignoram e denunciam; criadores e intermediários organizam parte da oferta de conteúdo. Autoridades públicas e tribunais atuam dentro de suas competências. Nenhum desses atores controla isoladamente todos os resultados. A Meta opera Facebook e Instagram; suas regras não são automaticamente as do LinkedIn, YouTube, TikTok ou X.</w:t>
      </w:r>
    </w:p>
    <w:p>
      <w:pPr>
        <w:keepNext/>
        <w:ind w:firstLine="0"/>
        <w:jc w:val="center"/>
      </w:pPr>
      <w:r>
        <w:drawing>
          <wp:inline xmlns:a="http://schemas.openxmlformats.org/drawingml/2006/main" xmlns:pic="http://schemas.openxmlformats.org/drawingml/2006/picture">
            <wp:extent cx="6080760" cy="2804857"/>
            <wp:docPr id="3" name="Picture 3" descr="Figura 3. Ciclo analítico da visibilidade empresarial. Elaboração autoral, em diálogo com Algoritmos do Poder [1]. As setas representam relações possíveis a investigar, não coeficientes causais medidos. A retroalimentação pode reforçar vantagens ou desvantagens, dependendo do desenho e do contexto."/>
            <wp:cNvGraphicFramePr>
              <a:graphicFrameLocks noChangeAspect="1"/>
            </wp:cNvGraphicFramePr>
            <a:graphic>
              <a:graphicData uri="http://schemas.openxmlformats.org/drawingml/2006/picture">
                <pic:pic>
                  <pic:nvPicPr>
                    <pic:cNvPr id="0" name="fig4_ciclo.png"/>
                    <pic:cNvPicPr/>
                  </pic:nvPicPr>
                  <pic:blipFill>
                    <a:blip r:embed="rId13"/>
                    <a:stretch>
                      <a:fillRect/>
                    </a:stretch>
                  </pic:blipFill>
                  <pic:spPr>
                    <a:xfrm>
                      <a:off x="0" y="0"/>
                      <a:ext cx="6080760" cy="2804857"/>
                    </a:xfrm>
                    <a:prstGeom prst="rect"/>
                  </pic:spPr>
                </pic:pic>
              </a:graphicData>
            </a:graphic>
          </wp:inline>
        </w:drawing>
      </w:r>
    </w:p>
    <w:p>
      <w:pPr>
        <w:pStyle w:val="Caption"/>
      </w:pPr>
      <w:r>
        <w:t>Figura 3. Ciclo analítico da visibilidade empresarial. Elaboração autoral, em diálogo com Algoritmos do Poder [1]. As setas representam relações possíveis a investigar, não coeficientes causais medidos. A retroalimentação pode reforçar vantagens ou desvantagens, dependendo do desenho e do contexto.</w:t>
      </w:r>
    </w:p>
    <w:p>
      <w:pPr>
        <w:jc w:val="both"/>
      </w:pPr>
      <w:r>
        <w:t>O poder econômico aparece quando uma organização pode alterar as condições de acesso a públicos importantes para outra. Isso inclui determinar elegibilidade, apresentar opções de anúncios, definir critérios de remoção e controlar os registros necessários a uma contestação. A dependência é maior quando o negócio não consegue substituir o canal sem perder clientes, histórico ou capacidade de operação. Essa dependência deve ser investigada em cada mercado, em vez de presumida somente pelo tamanho da plataforma.</w:t>
      </w:r>
    </w:p>
    <w:p>
      <w:pPr>
        <w:jc w:val="both"/>
      </w:pPr>
      <w:r>
        <w:t>Na política, é preciso distinguir exposição, atitudes, identificação partidária e voto. Gauthier e colaboradores, em estudo publicado em 2026 sobre experimento realizado nos Estados Unidos em 2023, distribuíram usuários do X entre feeds algorítmico e cronológico durante cerca de sete semanas. A amostra principal teve 4.965 respondentes finais. Ativar o feed algorítmico para quem usava o cronológico deslocou algumas opiniões para posições mais conservadoras; a mudança inversa não produziu efeito comparável. Não houve efeito significativo sobre identificação partidária ou polarização afetiva [29].</w:t>
      </w:r>
    </w:p>
    <w:p>
      <w:pPr>
        <w:jc w:val="both"/>
      </w:pPr>
      <w:r>
        <w:t>Piccardi e colaboradores, em experimento de dez dias com 1.256 participantes no X durante a campanha norte-americana de 2024, publicado em 2025, modificaram a ordenação de conteúdos com hostilidade partidária. A intervenção alterou a polarização afetiva, isto é, sentimentos em relação ao grupo político adversário [30]. Os estudos examinam intervenções e resultados diferentes. Sustentam a possibilidade de influência causal em contextos definidos, sem demonstrar controle unilateral de eleições ou medir efeitos sobre o voto no Brasil. Essa distinção permite discutir poder com evidência, sem confundir influência com determinação.</w:t>
      </w:r>
    </w:p>
    <w:p>
      <w:pPr>
        <w:jc w:val="both"/>
      </w:pPr>
      <w:r>
        <w:t>No crédito, popularidade tampouco equivale a capacidade de pagamento. A hipótese de usar rastros digitais para avaliar um empreendedor precisa enfrentar finalidade, qualidade dos dados e risco de variáveis substitutas. Seguidores, território ou estilo de linguagem não devem ser tratados como indicadores autoexplicativos de confiabilidade. O problema é avaliar a validade e a proporcionalidade do uso, não transferir automaticamente uma métrica de marketing para uma decisão financeira.</w:t>
      </w:r>
    </w:p>
    <w:p>
      <w:pPr>
        <w:pStyle w:val="Heading1"/>
        <w:pageBreakBefore w:val="0"/>
        <w:jc w:val="left"/>
      </w:pPr>
      <w:r>
        <w:t>5 Como o viés atravessa o processo</w:t>
      </w:r>
    </w:p>
    <w:p>
      <w:pPr>
        <w:jc w:val="both"/>
      </w:pPr>
      <w:r>
        <w:t>Viés é um desvio sistemático que pode surgir na seleção de dados, na construção de medidas, nas decisões humanas e na operação do sistema. Nem todo viés é intencional, e nem toda diferença observada comprova discriminação. O NIST organiza a análise em dimensões sistêmicas, estatísticas ou computacionais e humanas. Essa perspectiva ajuda a examinar a organização, o modelo e o contexto juntos [8]. Para os negócios, o efeito pode ocorrer antes da primeira impressão e continuar depois de uma venda ou restrição.</w:t>
      </w:r>
    </w:p>
    <w:p>
      <w:pPr>
        <w:jc w:val="both"/>
      </w:pPr>
      <w:r>
        <w:t>Para tornar os conceitos operacionais, este artigo chama de desigualdade uma diferença observada; de viés, um mecanismo sistemático que distorce representação, julgamento ou distribuição em relação ao objetivo explicitado; e de discriminação, um tratamento ou efeito desfavorável cuja avaliação exige contexto normativo e evidência. Uma distribuição desigual pode refletir demanda, recursos ou barreiras; sua explicação exige comparação pertinente. Quando oportunidades são distribuídas, é necessário declarar o critério de justiça: igualdade de exposição, de acesso, de tratamento ou redução de danos não são medidas intercambiáveis.</w:t>
      </w:r>
    </w:p>
    <w:p>
      <w:pPr>
        <w:pStyle w:val="Heading2"/>
        <w:jc w:val="left"/>
      </w:pPr>
      <w:r>
        <w:t>Da representação à distribuição</w:t>
      </w:r>
    </w:p>
    <w:tbl>
      <w:tblPr>
        <w:tblW w:type="auto" w:w="0"/>
        <w:jc w:val="center"/>
        <w:tblLayout w:type="fixed"/>
        <w:tblLook w:firstColumn="1" w:firstRow="1" w:lastColumn="0" w:lastRow="0" w:noHBand="0" w:noVBand="1" w:val="04A0"/>
      </w:tblPr>
      <w:tblGrid>
        <w:gridCol w:w="2042"/>
        <w:gridCol w:w="3169"/>
        <w:gridCol w:w="4366"/>
      </w:tblGrid>
      <w:tr>
        <w:trPr>
          <w:cantSplit/>
          <w:tblHeader/>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Mecanismo a investigar</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Possível efeito empresarial</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Como verificar</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Representação e cobertura</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Negócios novos, locais ou com pouca atividade deixam poucos registros.</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Descrever quem está ausente da base; comparar desempenho por maturidade e setor.</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Variáveis substitutas</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Localização ou padrão de consumo pode reproduzir desigualdades sem nomeá-las.</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Examinar finalidade, necessidade e associação com grupos; evitar inferência de identidade por foto ou nome.</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Objetivo de otimização</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Cliques baratos podem concentrar entrega em públicos fáceis de alcançar.</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Comparar público pretendido e efetivamente alcançado; analisar custo e conversão por segmento permitido.</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Retroalimentação</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Pouca exposição gera poucos sinais, que podem sustentar baixa prioridade futura.</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Acompanhar exposição inicial e evolução; testar condições comparáveis e registrar alterações.</w:t>
            </w:r>
          </w:p>
        </w:tc>
      </w:tr>
    </w:tbl>
    <w:p>
      <w:pPr>
        <w:spacing w:after="0"/>
      </w:pPr>
    </w:p>
    <w:p>
      <w:pPr>
        <w:pStyle w:val="Caption"/>
      </w:pPr>
      <w:r>
        <w:t>Quadro 1. Protocolo analítico proposto pela autora. Exemplos são hipóteses de diagnóstico, não acusações sobre uma plataforma ou empresa específica. A dimensão de entrega desigual encontra apoio nos estudos discutidos na seção 7 [9–10].</w:t>
      </w:r>
    </w:p>
    <w:p>
      <w:pPr>
        <w:jc w:val="both"/>
      </w:pPr>
      <w:r>
        <w:t>A desigualdade entre anunciantes e a desigualdade entre pessoas alcançadas são problemas relacionados, mas diferentes. Um negócio pode pagar mais para atingir seu público; simultaneamente, certos grupos podem receber menos anúncios de oportunidades. Um anúncio comercial que falha em chegar ao cliente pretendido e uma oferta de emprego entregue de forma discriminatória não têm o mesmo enquadramento. É preciso identificar a decisão, a população e o dano.</w:t>
      </w:r>
    </w:p>
    <w:p>
      <w:pPr>
        <w:jc w:val="both"/>
      </w:pPr>
      <w:r>
        <w:t>Também é necessário separar raça, gênero, deficiência, idade, território e porte empresarial. Essas dimensões podem se cruzar, mas nenhuma deve virar explicação automática da outra. Negócios liderados por mulheres, pessoas negras ou pessoas com deficiência não formam grupos homogêneos. A investigação deve incorporar barreiras relatadas pelos participantes, acessibilidade e contexto econômico, sem presumir incapacidade ou atribuir identidade por aparência.</w:t>
      </w:r>
    </w:p>
    <w:p>
      <w:pPr>
        <w:jc w:val="both"/>
      </w:pPr>
      <w:r>
        <w:t>Um objetivo de eficiência pode estar funcionando conforme especificado e ainda produzir uma distribuição socialmente inadequada. Por isso, melhorar apenas a precisão preditiva não resolve necessariamente o problema. A avaliação precisa perguntar qual resultado foi otimizado, quem ficou de fora e quais alternativas de correção estavam disponíveis.</w:t>
      </w:r>
    </w:p>
    <w:p>
      <w:pPr>
        <w:pStyle w:val="Heading1"/>
        <w:pageBreakBefore w:val="0"/>
        <w:jc w:val="left"/>
      </w:pPr>
      <w:r>
        <w:t>6 Vieses de moderação mensuração e contestação</w:t>
      </w:r>
    </w:p>
    <w:tbl>
      <w:tblPr>
        <w:tblW w:type="auto" w:w="0"/>
        <w:jc w:val="center"/>
        <w:tblLayout w:type="fixed"/>
        <w:tblLook w:firstColumn="1" w:firstRow="1" w:lastColumn="0" w:lastRow="0" w:noHBand="0" w:noVBand="1" w:val="04A0"/>
      </w:tblPr>
      <w:tblGrid>
        <w:gridCol w:w="2042"/>
        <w:gridCol w:w="3169"/>
        <w:gridCol w:w="4366"/>
      </w:tblGrid>
      <w:tr>
        <w:trPr>
          <w:cantSplit/>
          <w:tblHeader/>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Mecanismo a investigar</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Risco concreto</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Resposta verificável</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Contexto e linguagem</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Sotaque, expressão regional, ironia ou contexto cultural pode ser mal interpretado.</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Revisar exemplos com pessoas que conheçam o contexto; registrar falsos positivos confirmados.</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Acessibilidade</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Vídeo sem legenda, formulário inacessível ou atendimento único exclui públicos.</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Testar leitura, contraste, legenda, navegação e alternativa de atendimento.</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Seleção e sobrevivência</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Só observar anunciantes ativos e bem-sucedidos oculta desistências e perdas.</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Incluir não usuários, contas restritas e empresas que saíram; registrar motivos de não participação.</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Atribuição e mensuração</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Vendas que ocorreriam sem a campanha podem ser contadas como efeito dela.</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Distinguir venda atribuída de venda incremental; utilizar comparação adequada quando viável.</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Automação e julgamento</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 equipe confirma uma recomendação da IA sem examinar a evidência.</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Exigir justificativa e revisão com autoridade real para alterar a decisão.</w:t>
            </w:r>
          </w:p>
        </w:tc>
      </w:tr>
      <w:tr>
        <w:trPr>
          <w:cantSplit/>
        </w:trPr>
        <w:tc>
          <w:tcPr>
            <w:tcW w:type="dxa" w:w="204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Assimetria de recurso</w:t>
            </w:r>
          </w:p>
        </w:tc>
        <w:tc>
          <w:tcPr>
            <w:tcW w:type="dxa" w:w="31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Empresas com menos tempo ou suporte desistem de contestar erros.</w:t>
            </w:r>
          </w:p>
        </w:tc>
        <w:tc>
          <w:tcPr>
            <w:tcW w:type="dxa" w:w="436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Medir prazo, completude da resposta, reversões e impacto operacional da restrição.</w:t>
            </w:r>
          </w:p>
        </w:tc>
      </w:tr>
    </w:tbl>
    <w:p>
      <w:pPr>
        <w:spacing w:after="0"/>
      </w:pPr>
    </w:p>
    <w:p>
      <w:pPr>
        <w:pStyle w:val="Caption"/>
      </w:pPr>
      <w:r>
        <w:t>Quadro 2. Riscos e verificações propostos para diagnóstico. A existência de um mecanismo possível não informa sua frequência. Auditorias precisam de registros, comparação e revisão contextual. A cautela sobre atribuição é sustentada por Gordon e colaboradores [11].</w:t>
      </w:r>
    </w:p>
    <w:p>
      <w:pPr>
        <w:pStyle w:val="Heading2"/>
        <w:jc w:val="left"/>
      </w:pPr>
      <w:r>
        <w:t>O que chamar de silenciamento</w:t>
      </w:r>
    </w:p>
    <w:p>
      <w:pPr>
        <w:jc w:val="both"/>
      </w:pPr>
      <w:r>
        <w:t>O termo deve descrever a experiência de perda de voz ou acesso e ser acompanhado de uma classificação verificável. Remoção de conteúdo, suspensão de conta, redução de elegibilidade para recomendações, rejeição de anúncio e indisponibilidade técnica são eventos distintos. Queda de alcance sem aviso pode decorrer de várias mudanças e deve permanecer como causa indeterminada até haver evidência suficiente. O rótulo “shadowban”, isoladamente, não identifica um mecanismo.</w:t>
      </w:r>
    </w:p>
    <w:p>
      <w:pPr>
        <w:jc w:val="both"/>
      </w:pPr>
      <w:r>
        <w:t>A análise deve registrar data, conteúdo, aviso recebido, regra invocada, histórico e resultado do recurso. Quando a restrição é aplicada corretamente para proteger pessoas ou impedir fraude, a redução de distribuição não é, por esse motivo apenas, um abuso. Quando há erro ou aplicação desigual, a correção precisa ser efetiva. Recuperar uma conta não recupera automaticamente o faturamento perdido; essa perda exige demonstração própria.</w:t>
      </w:r>
    </w:p>
    <w:p>
      <w:pPr>
        <w:jc w:val="both"/>
      </w:pPr>
      <w:r>
        <w:t>Um protocolo responsável não coleta dados sensíveis de clientes apenas para preencher um painel de diversidade. A coleta precisa ter finalidade, fundamento aplicável, necessidade, acesso restrito e prazo de retenção. Análises agregadas e relatos voluntários podem ser suficientes para algumas perguntas. Amostras pequenas devem ser apresentadas com incerteza, evitando expor pessoas ou transformar diferenças casuais em diagnósticos de discriminação.</w:t>
      </w:r>
    </w:p>
    <w:p>
      <w:pPr>
        <w:pStyle w:val="Heading2"/>
        <w:jc w:val="left"/>
      </w:pPr>
      <w:r>
        <w:t>Um protocolo de verificação proporcional ao negócio</w:t>
      </w:r>
    </w:p>
    <w:p>
      <w:pPr>
        <w:jc w:val="both"/>
      </w:pPr>
      <w:r>
        <w:t>O diagnóstico começa pela unidade de análise: conta, conteúdo, campanha, pessoa alcançada ou pedido. Em seguida, fixa período, objetivo, público elegível, orçamento, critério de comparação e resultado principal. Comparar impressões de um mês com alcance único de outro, ou campanhas com objetivos distintos, pode criar uma diferença artificial. A variável de porte deve conservar a definição da fonte; as classes por pessoal ocupado dos levantamentos não equivalem automaticamente às categorias tributárias brasileiras.</w:t>
      </w:r>
    </w:p>
    <w:p>
      <w:pPr>
        <w:jc w:val="both"/>
      </w:pPr>
      <w:r>
        <w:t>A composição de entrega pode ser descrita como a participação de um segmento nas impressões e comparada à sua participação no público elegível, se esta for conhecida legitimamente. Essa referência não é a composição de toda a população. Sem o denominador ou com estimativa instável, registrar a limitação. O mesmo vale para moderação: a proporção de recursos revertidos entre os encerrados não mede a taxa de erro de todas as decisões, pois recorrer já seleciona os casos.</w:t>
      </w:r>
    </w:p>
    <w:p>
      <w:pPr>
        <w:jc w:val="both"/>
      </w:pPr>
      <w:r>
        <w:t>Na revisão de uma restrição, conservar aviso, data, justificativa, evidência apresentada, prazo e desfecho. Se houver amostra revisada por pessoas qualificadas, distinguir conteúdos legítimos incorretamente restringidos daqueles que permaneceram permitidos. A taxa de falso positivo usa todos os conteúdos considerados legítimos na amostra revisada como denominador. Resultados devem informar tamanho, seleção e desacordos da revisão. O Apêndice C oferece um registro mínimo para uso no piloto.</w:t>
      </w:r>
    </w:p>
    <w:p>
      <w:pPr>
        <w:pStyle w:val="Heading1"/>
        <w:pageBreakBefore w:val="0"/>
        <w:jc w:val="left"/>
      </w:pPr>
      <w:r>
        <w:t>7 Estudos sobre entrega desigual e retorno comercial</w:t>
      </w:r>
    </w:p>
    <w:p>
      <w:pPr>
        <w:pStyle w:val="Heading2"/>
        <w:jc w:val="left"/>
      </w:pPr>
      <w:r>
        <w:t>Entrega desigual mesmo sem exclusão explícita</w:t>
      </w:r>
    </w:p>
    <w:p>
      <w:pPr>
        <w:jc w:val="both"/>
      </w:pPr>
      <w:r>
        <w:t>Ali e colaboradores observaram, em experimentos no Facebook, que orçamento e conteúdo do anúncio influenciaram a composição da entrega. Anúncios de emprego e moradia apresentaram distribuição desigual por gênero e raça mesmo com parâmetros de segmentação neutros. O estudo demonstra um mecanismo possível na entrega, além da escolha explícita de públicos pelo anunciante. Não mede a frequência atual desse problema em todas as plataformas nem o desempenho de pequenos negócios brasileiros [9].</w:t>
      </w:r>
    </w:p>
    <w:p>
      <w:pPr>
        <w:jc w:val="both"/>
      </w:pPr>
      <w:r>
        <w:t>Lambrecht e Tucker estudaram anúncios de oportunidades em ciência, tecnologia, engenharia e matemática. A entrega pretendida como neutra alcançou menos mulheres; o custo maior para atingir mulheres mais jovens ajudou a explicar o padrão. O resultado mostra como a competição por públicos e a otimização de custos podem produzir exposição desigual. Não autoriza concluir que toda campanha em 2026 segue o mesmo padrão, nem que transparência isolada eliminaria os incentivos envolvidos [10].</w:t>
      </w:r>
    </w:p>
    <w:p>
      <w:pPr>
        <w:pStyle w:val="Heading2"/>
        <w:jc w:val="left"/>
      </w:pPr>
      <w:r>
        <w:t>Resultados atribuídos não são necessariamente adicionais</w:t>
      </w:r>
    </w:p>
    <w:p>
      <w:pPr>
        <w:jc w:val="both"/>
      </w:pPr>
      <w:r>
        <w:t>Gordon e colaboradores compararam métodos observacionais com 15 experimentos de publicidade nos Estados Unidos no Facebook, envolvendo 500 milhões de observações usuário–experimento e 1,6 bilhão de impressões. Os métodos observacionais frequentemente não reproduziram os resultados experimentais, mesmo com controles extensos. “Observações” não significa usuários únicos. Para a empresa, a lição é avaliar se o cliente compraria mesmo sem exposição ao anúncio, e reconhecer quando os dados disponíveis não permitem responder [11].</w:t>
      </w:r>
    </w:p>
    <w:p>
      <w:pPr>
        <w:pStyle w:val="Heading2"/>
        <w:jc w:val="left"/>
      </w:pPr>
      <w:r>
        <w:t>Pequenos negócios podem ganhar mas os efeitos variam</w:t>
      </w:r>
    </w:p>
    <w:p>
      <w:pPr>
        <w:jc w:val="both"/>
      </w:pPr>
      <w:r>
        <w:t>Dai, Kim e Luca conduziram experimento com 18.294 restaurantes no Yelp; 7.209 receberam gratuitamente o pacote padrão de anúncios durante três meses. Foram observados aumentos médios de 7% a 19% em medidas de intenção de compra e de 5% em avaliações. Os ganhos foram maiores, entre outros recortes, em negócios independentes e mais bem avaliados. Intenção de compra e avaliações não equivalem a lucro. O anúncio gratuito também não demonstra rentabilidade ao preço comercial [12].</w:t>
      </w:r>
    </w:p>
    <w:p>
      <w:pPr>
        <w:jc w:val="both"/>
      </w:pPr>
      <w:r>
        <w:t>O Yelp é uma plataforma de avaliações e busca local; o resultado não deve ser transportado para o feed do Instagram. Os autores declaram consultorias, inclusive ao Yelp, que apoiou o experimento com dados e engenharia. A interpretação exige respeitar mercado, período e resultados medidos.</w:t>
      </w:r>
    </w:p>
    <w:p>
      <w:pPr>
        <w:jc w:val="both"/>
      </w:pPr>
      <w:r>
        <w:t>Os estudos sustentam três decisões práticas: examinar a entrega realizada, medir resultados adicionais quando possível e evitar uma receita única de promoção. Eles não demonstram que grandes empresas sempre vencem, que empresas pequenas são sempre silenciadas ou que uma plataforma assegura determinado crescimento de seguidores.</w:t>
      </w:r>
    </w:p>
    <w:p>
      <w:pPr>
        <w:pStyle w:val="Heading1"/>
        <w:pageBreakBefore w:val="0"/>
        <w:jc w:val="left"/>
      </w:pPr>
      <w:r>
        <w:t>8 Promoção e regras das plataformas</w:t>
      </w:r>
    </w:p>
    <w:p>
      <w:pPr>
        <w:jc w:val="both"/>
      </w:pPr>
      <w:r>
        <w:t>A estratégia deve separar distribuição orgânica, publicidade, assinatura e verificação. São produtos e mecanismos diferentes. Um selo pode indicar verificação de identidade ou acesso a benefícios de um plano; não certifica qualidade de produtos nem garante viralização. Recursos variam por país, elegibilidade e modalidade. O quadro resume documentação consultada até 14 de outubro de 2026, sem pretender expor pesos internos dos algoritmos.</w:t>
      </w:r>
    </w:p>
    <w:tbl>
      <w:tblPr>
        <w:tblW w:type="auto" w:w="0"/>
        <w:jc w:val="center"/>
        <w:tblLayout w:type="fixed"/>
        <w:tblLook w:firstColumn="1" w:firstRow="1" w:lastColumn="0" w:lastRow="0" w:noHBand="0" w:noVBand="1" w:val="04A0"/>
      </w:tblPr>
      <w:tblGrid>
        <w:gridCol w:w="1619"/>
        <w:gridCol w:w="4225"/>
        <w:gridCol w:w="3732"/>
      </w:tblGrid>
      <w:tr>
        <w:trPr>
          <w:cantSplit/>
          <w:tblHeader/>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Ambiente</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O que a documentação permite distinguir</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Decisão para o negócio</w:t>
            </w:r>
          </w:p>
        </w:tc>
      </w:tr>
      <w:tr>
        <w:trPr>
          <w:cantSplit/>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Instagram e Facebook</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Originalidade e elegibilidade para recomendações são tratadas nas orientações. Meta Verified possui benefícios específicos; planos empresariais podem incluir recursos de descoberta [13–15,25].</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Revisar status da conta, direitos do conteúdo e plano contratado. Medir alcance qualificado e pedidos, separando mídia paga.</w:t>
            </w:r>
          </w:p>
        </w:tc>
      </w:tr>
      <w:tr>
        <w:trPr>
          <w:cantSplit/>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LinkedIn</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O feed considera contexto da rede e interesses. Premium Company Page oferece recursos próprios, como convites automáticos em condições elegíveis [16–17].</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Para B2B, acompanhar contatos qualificados e oportunidades por ciclo de venda; não confundir recursos de página e perfil.</w:t>
            </w:r>
          </w:p>
        </w:tc>
      </w:tr>
      <w:tr>
        <w:trPr>
          <w:cantSplit/>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YouTube</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Promote é publicidade. A documentação informa que sua utilização não altera o desempenho orgânico das recomendações [18].</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Separar campanha e descoberta orgânica; avaliar retenção, consultas e vendas. Não inferir aumento orgânico pela compra de anúncio.</w:t>
            </w:r>
          </w:p>
        </w:tc>
      </w:tr>
      <w:tr>
        <w:trPr>
          <w:cantSplit/>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TikTok</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Recomendação combina sinais de interação e informações de conteúdo e usuário. Verificação não é comprada; seguidores não são critério obrigatório para o selo [19–20].</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Testar linguagem e retenção sem copiar mecanicamente tendências. Examinar elegibilidade, acessibilidade e resultado comercial.</w:t>
            </w:r>
          </w:p>
        </w:tc>
      </w:tr>
      <w:tr>
        <w:trPr>
          <w:cantSplit/>
        </w:trPr>
        <w:tc>
          <w:tcPr>
            <w:tcW w:type="dxa" w:w="161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X</w:t>
            </w:r>
          </w:p>
        </w:tc>
        <w:tc>
          <w:tcPr>
            <w:tcW w:type="dxa" w:w="422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Premium prevê priorização de respostas conforme o plano. Isso não equivale a alcance garantido para toda publicação [21].</w:t>
            </w:r>
          </w:p>
        </w:tc>
        <w:tc>
          <w:tcPr>
            <w:tcW w:type="dxa" w:w="37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Avaliar utilidade do recurso para o objetivo e observar contatos ou conversões, sem prometer seguidores.</w:t>
            </w:r>
          </w:p>
        </w:tc>
      </w:tr>
    </w:tbl>
    <w:p>
      <w:pPr>
        <w:spacing w:after="0"/>
      </w:pPr>
    </w:p>
    <w:p>
      <w:pPr>
        <w:pStyle w:val="Caption"/>
      </w:pPr>
      <w:r>
        <w:t>Quadro 3. Síntese de regras declaradas pelas plataformas, não auditoria independente de sua aplicação. As fontes oficiais e os endereços estão nas referências. Verificar alterações antes de contratar um plano ou iniciar uma campanha.</w:t>
      </w:r>
    </w:p>
    <w:p>
      <w:pPr>
        <w:jc w:val="both"/>
      </w:pPr>
      <w:r>
        <w:t>Uma promoção coerente começa por oferta, público, contexto de uso e capacidade de atendimento. Conteúdo original, demonstrações, prova verificável de qualidade, informações claras de preço e acessibilidade são hipóteses de trabalho mais defensáveis que truques universais de algoritmo. A empresa deve observar quais dessas escolhas melhoram conversas e vendas em seu mercado. Compra de seguidores e engajamento artificial prejudicam a interpretação dos indicadores e não substituem demanda.</w:t>
      </w:r>
    </w:p>
    <w:p>
      <w:pPr>
        <w:jc w:val="both"/>
      </w:pPr>
      <w:r>
        <w:t>Sem histórico da conta, frequência de publicação, alcance, entrada e saída de seguidores, campanhas e conversão, não é possível estimar “quantos seguidores crescerão a partir de agora”. Uma projeção precisa declarar suas hipóteses e ser atualizada com dados reais. Mesmo uma previsão de seguidores adequada não substitui análise de margem e continuidade do negócio.</w:t>
      </w:r>
    </w:p>
    <w:p>
      <w:pPr>
        <w:pStyle w:val="Heading1"/>
        <w:pageBreakBefore w:val="0"/>
        <w:jc w:val="left"/>
      </w:pPr>
      <w:r>
        <w:t>9 A economia da promoção e o custo da atenção</w:t>
      </w:r>
    </w:p>
    <w:p>
      <w:pPr>
        <w:jc w:val="both"/>
      </w:pPr>
      <w:r>
        <w:t>A métrica econômica começa pelo objetivo. Alcance mede exposição; engajamento mede ações cuja definição varia; conversão mede um evento definido; receita mede venda; margem considera custos. Um resultado pode melhorar enquanto outro piora. A empresa que aumenta pedidos além da capacidade de entrega pode perder qualidade e clientes, apesar de um painel de publicidade favorável.</w:t>
      </w:r>
    </w:p>
    <w:p>
      <w:pPr>
        <w:jc w:val="both"/>
      </w:pPr>
      <w:r>
        <w:t>O custo de aquisição de clientes deve usar uma definição consistente de cliente novo e incluir os custos pertinentes à aquisição. O retorno sobre gasto em anúncios, usualmente chamado ROAS, relaciona receita atribuída e gasto de mídia. Ele não é lucro e pode incluir vendas que ocorreriam sem a campanha. O retorno incremental exige uma estimativa do que teria ocorrido sem a intervenção. Quando ela não existe, o resultado deve ser descrito como associação ou atribuição, com essa limitação.</w:t>
      </w:r>
    </w:p>
    <w:p>
      <w:pPr>
        <w:keepNext/>
        <w:ind w:firstLine="0"/>
        <w:jc w:val="center"/>
      </w:pPr>
      <w:r>
        <w:drawing>
          <wp:inline xmlns:a="http://schemas.openxmlformats.org/drawingml/2006/main" xmlns:pic="http://schemas.openxmlformats.org/drawingml/2006/picture">
            <wp:extent cx="6080760" cy="2607787"/>
            <wp:docPr id="4" name="Picture 4" descr="Figura 4. Simulação didática, não previsão de mercado nem resultado de empresa. Hipóteses: custo total adicional da campanha de R$ 900; margem de contribuição antes da campanha de 30% sobre receita incremental; capacidade de atendimento suficiente. Resultado após campanha: 30% da receita incremental menos R$ 900. O equilíbrio ocorre em R$ 3.000. Custos fixos gerais não são deduzidos; o valor não representa lucro líquido."/>
            <wp:cNvGraphicFramePr>
              <a:graphicFrameLocks noChangeAspect="1"/>
            </wp:cNvGraphicFramePr>
            <a:graphic>
              <a:graphicData uri="http://schemas.openxmlformats.org/drawingml/2006/picture">
                <pic:pic>
                  <pic:nvPicPr>
                    <pic:cNvPr id="0" name="fig3_economia.png"/>
                    <pic:cNvPicPr/>
                  </pic:nvPicPr>
                  <pic:blipFill>
                    <a:blip r:embed="rId14"/>
                    <a:stretch>
                      <a:fillRect/>
                    </a:stretch>
                  </pic:blipFill>
                  <pic:spPr>
                    <a:xfrm>
                      <a:off x="0" y="0"/>
                      <a:ext cx="6080760" cy="2607787"/>
                    </a:xfrm>
                    <a:prstGeom prst="rect"/>
                  </pic:spPr>
                </pic:pic>
              </a:graphicData>
            </a:graphic>
          </wp:inline>
        </w:drawing>
      </w:r>
    </w:p>
    <w:p>
      <w:pPr>
        <w:pStyle w:val="Caption"/>
      </w:pPr>
      <w:r>
        <w:t>Figura 4. Simulação didática, não previsão de mercado nem resultado de empresa. Hipóteses: custo total adicional da campanha de R$ 900; margem de contribuição antes da campanha de 30% sobre receita incremental; capacidade de atendimento suficiente. Resultado após campanha: 30% da receita incremental menos R$ 900. O equilíbrio ocorre em R$ 3.000. Custos fixos gerais não são deduzidos; o valor não representa lucro líquido.</w:t>
      </w:r>
    </w:p>
    <w:p>
      <w:pPr>
        <w:jc w:val="both"/>
      </w:pPr>
      <w:r>
        <w:t>No exemplo, R$ 2.000 de receita adicional geram R$ 600 de contribuição antes da campanha, insuficientes para pagar os R$ 900. Com R$ 5.000, a contribuição é de R$ 1.500 e restam R$ 600 após o custo adicional. Se produção, atendimento ou logística aumentarem além do previsto, a conta muda. Uma microempresa pode usar uma planilha simples para explicitar essas hipóteses antes de assumir despesa.</w:t>
      </w:r>
    </w:p>
    <w:p>
      <w:pPr>
        <w:jc w:val="both"/>
      </w:pPr>
      <w:r>
        <w:t>O poder financeiro importa porque permite absorver períodos de aprendizagem e resultados incertos. Isso não justifica gastar continuamente até “o algoritmo aprender”. O orçamento deve ter limite, critério de interrupção e finalidade clara. A comparação entre canais precisa incluir trabalho não remunerado, produção, atendimento e ferramentas. “Orgânico” pode ter custo elevado em horas, mesmo quando não há pagamento à plataforma.</w:t>
      </w:r>
    </w:p>
    <w:p>
      <w:pPr>
        <w:pStyle w:val="Heading2"/>
        <w:jc w:val="left"/>
      </w:pPr>
      <w:r>
        <w:t>Como avaliar uma mudança sem confundir associação e efeito</w:t>
      </w:r>
    </w:p>
    <w:p>
      <w:pPr>
        <w:jc w:val="both"/>
      </w:pPr>
      <w:r>
        <w:t>Antes do teste, definir uma medida principal, como contribuição adicional após os custos da ação, e uma janela compatível com o ciclo de compra. A contribuição incremental estimada corresponde à receita incremental multiplicada pela margem de contribuição antes da ação, menos os custos adicionais de mídia, produção, ferramentas e trabalho. Evitar dupla contagem: um custo já deduzido na margem não deve ser novamente subtraído. Sem estimativa defensável da receita que existiria sem a ação, apresentar resultado observado, não lucro causado pela campanha.</w:t>
      </w:r>
    </w:p>
    <w:p>
      <w:pPr>
        <w:jc w:val="both"/>
      </w:pPr>
      <w:r>
        <w:t>Quando viável, sortear grupos comparáveis para receber a intervenção e manter um grupo de comparação, registrando a unidade sorteada e a possibilidade de exposição cruzada. Dividir clientes que compartilham a mesma oferta pode contaminar a comparação. Um piloto pequeno deve priorizar viabilidade e qualidade do registro; estimar impacto exige dimensionamento próprio. Alternar semanas sem controlar sazonalidade, estoque e outras ações não equivale à aleatorização. Uma venda isolada tampouco sustenta uma projeção estável de crescimento.</w:t>
      </w:r>
    </w:p>
    <w:p>
      <w:pPr>
        <w:pStyle w:val="Heading1"/>
        <w:pageBreakBefore w:val="0"/>
        <w:jc w:val="left"/>
      </w:pPr>
      <w:r>
        <w:t>10 Estratégias proporcionais ao porte e à capacidade</w:t>
      </w:r>
    </w:p>
    <w:p>
      <w:pPr>
        <w:pStyle w:val="Heading2"/>
        <w:jc w:val="left"/>
      </w:pPr>
      <w:r>
        <w:t>Micro e pequenos negócios</w:t>
      </w:r>
    </w:p>
    <w:p>
      <w:pPr>
        <w:jc w:val="both"/>
      </w:pPr>
      <w:r>
        <w:t>A prioridade proposta é organizar um percurso curto entre descoberta, contato e entrega. Escolher um canal de descoberta pertinente, um meio de atendimento e um registro de pedidos pode ser mais viável do que manter presença superficial em todas as redes. O diagnóstico deve verificar quem administra as contas, como são recuperadas, se os contatos podem ser organizados legitimamente e se há alternativa quando o canal fica indisponível. Não é necessário iniciar com anúncios pagos.</w:t>
      </w:r>
    </w:p>
    <w:p>
      <w:pPr>
        <w:jc w:val="both"/>
      </w:pPr>
      <w:r>
        <w:t>Uma padaria de bairro pode testar informações claras de localização, horários e encomendas; uma prestadora de serviços pode documentar resultados e esclarecer escopo e prazo. São exemplos hipotéticos de adequação da comunicação, não casos de sucesso medidos. O teste deve registrar o tempo usado, os pedidos qualificados, cancelamentos e margem. Quando houver público com acesso limitado, manter atendimento acessível fora da plataforma integra a estratégia de inclusão.</w:t>
      </w:r>
    </w:p>
    <w:p>
      <w:pPr>
        <w:pStyle w:val="Heading2"/>
        <w:jc w:val="left"/>
      </w:pPr>
      <w:r>
        <w:t>Empresas médias</w:t>
      </w:r>
    </w:p>
    <w:p>
      <w:pPr>
        <w:jc w:val="both"/>
      </w:pPr>
      <w:r>
        <w:t>A proposta é integrar marketing, vendas e atendimento, evitando que cada equipe conte a mesma oportunidade de modo diferente. Um CRM pode ajudar a acompanhar origem, etapa e resultado dos contatos, desde que haja procedimentos de qualidade e proteção de dados. Comparar campanhas por região ou período requer observar sazonalidade, diferenças de público e capacidade de entrega. Se houver volume suficiente, testes com grupos comparáveis permitem estimativas mais informativas do que observar apenas o crescimento antes e depois.</w:t>
      </w:r>
    </w:p>
    <w:p>
      <w:pPr>
        <w:pStyle w:val="Heading2"/>
        <w:jc w:val="left"/>
      </w:pPr>
      <w:r>
        <w:t>Grandes empresas</w:t>
      </w:r>
    </w:p>
    <w:p>
      <w:pPr>
        <w:jc w:val="both"/>
      </w:pPr>
      <w:r>
        <w:t>O maior investimento deve vir acompanhado de governança proporcional. Isso inclui contratos que permitam obter registros pertinentes, critérios para contratação de agências e criadores, auditoria de segmentações e controle sobre automações. A organização deve avaliar a distribuição de oportunidades em suas cadeias: fornecedores menores não deveriam depender de popularidade digital para demonstrar capacidade técnica. Uma exigência comercial pode excluir parceiros competentes se transformar presença nas redes em requisito sem relação com a entrega.</w:t>
      </w:r>
    </w:p>
    <w:p>
      <w:pPr>
        <w:pStyle w:val="Heading2"/>
        <w:jc w:val="left"/>
      </w:pPr>
      <w:r>
        <w:t>Criadores e intermediários</w:t>
      </w:r>
    </w:p>
    <w:p>
      <w:pPr>
        <w:jc w:val="both"/>
      </w:pPr>
      <w:r>
        <w:t>A taxonomia autoral ajuda a especificar quem faz o quê: criação, influência, gestão de comunidade, distribuição e venda são funções que podem estar em agentes diferentes. Uma campanha deve explicitar remuneração, direitos de uso, entrega, identificação comercial e métrica de avaliação, sem tratar todos os participantes como influenciadores. Essa precisão favorece pequenos negócios que precisam comparar propostas e evitar contratar visibilidade sem compreender o serviço [2].</w:t>
      </w:r>
    </w:p>
    <w:p>
      <w:pPr>
        <w:jc w:val="both"/>
      </w:pPr>
      <w:r>
        <w:t>Para qualquer porte, diversificar não significa abrir contas indiscriminadamente. Significa reduzir uma dependência crítica com alternativas economicamente sustentáveis: site adequado ao objetivo, relacionamento autorizado, indicação, presença territorial, canais profissionais ou parcerias. A seleção depende de público e produto. O indicador de autonomia é a possibilidade concreta de manter contato e atender quando um intermediário deixa de funcionar.</w:t>
      </w:r>
    </w:p>
    <w:p>
      <w:pPr>
        <w:pStyle w:val="Heading1"/>
        <w:pageBreakBefore w:val="0"/>
        <w:jc w:val="left"/>
      </w:pPr>
      <w:r>
        <w:t>11 Políticas públicas privadas e responsabilidade</w:t>
      </w:r>
    </w:p>
    <w:p>
      <w:pPr>
        <w:jc w:val="both"/>
      </w:pPr>
      <w:r>
        <w:t>Uma política de inclusão empresarial precisa combinar capacidades e condições de acesso. Capacitar o empreendedor é necessário, mas não resolve sozinho regras obscuras, erros de moderação ou barreiras de contestação. Exigir transparência da plataforma também é insuficiente se a empresa não dispõe de tempo, linguagem ou meios para utilizar a informação. A resposta proposta distribui responsabilidades conforme a capacidade de agir.</w:t>
      </w:r>
    </w:p>
    <w:p>
      <w:pPr>
        <w:pStyle w:val="Heading2"/>
        <w:jc w:val="left"/>
      </w:pPr>
      <w:r>
        <w:t>Agenda para o poder público</w:t>
      </w:r>
    </w:p>
    <w:p>
      <w:pPr>
        <w:jc w:val="both"/>
      </w:pPr>
      <w:r>
        <w:t>São prioridades propostas: apoiar conectividade e acessibilidade; produzir dados que incluam microempreendedores; fomentar pesquisa independente; examinar práticas de intermediação e concorrência; e facilitar orientação sobre direitos e recursos. Programas de promoção devem divulgar critérios de seleção e avaliar se alcançam negócios com menor capacidade inicial. Subsídios que apenas financiam anúncios de empresas já preparadas podem ampliar diferenças; esse efeito deve ser testado, não presumido como inevitável.</w:t>
      </w:r>
    </w:p>
    <w:p>
      <w:pPr>
        <w:pStyle w:val="Heading2"/>
        <w:jc w:val="left"/>
      </w:pPr>
      <w:r>
        <w:t>Agenda para plataformas e grandes contratantes</w:t>
      </w:r>
    </w:p>
    <w:p>
      <w:pPr>
        <w:jc w:val="both"/>
      </w:pPr>
      <w:r>
        <w:t>As medidas recomendadas são motivos compreensíveis para restrições, acompanhamento do recurso, registros exportáveis quando cabíveis, atendimento acessível e monitoramento de erros. Transparência útil deve permitir uma ação concreta. Informar apenas que houve “violação de política” pode não dar ao negócio elementos para corrigir um conteúdo ou contestar a decisão. Ao mesmo tempo, explicações não precisam revelar mecanismos que facilitem fraude ou comprometam dados de terceiros.</w:t>
      </w:r>
    </w:p>
    <w:p>
      <w:pPr>
        <w:jc w:val="both"/>
      </w:pPr>
      <w:r>
        <w:t>A governança privada deve verificar resultados distributivos e conflitos entre metas. Uma campanha otimizada para custo pode excluir públicos que a organização pretendia alcançar. Uma regra de segurança pode retirar conteúdos legítimos. O procedimento de revisão precisa ter equipe, informação e autoridade, e não apenas uma etapa simbólica. Metas de produtividade do suporte devem ser analisadas junto com qualidade e reversões justificadas.</w:t>
      </w:r>
    </w:p>
    <w:p>
      <w:pPr>
        <w:pStyle w:val="Heading2"/>
        <w:jc w:val="left"/>
      </w:pPr>
      <w:r>
        <w:t>O que os marcos jurídicos citados abrangem</w:t>
      </w:r>
    </w:p>
    <w:p>
      <w:pPr>
        <w:jc w:val="both"/>
      </w:pPr>
      <w:r>
        <w:t>No Brasil, o artigo 20 da LGPD prevê que o titular solicite revisão de decisões tomadas unicamente com base em tratamento automatizado de dados pessoais que afetem seus interesses, além de informações sobre critérios e procedimentos, observados segredos comercial e industrial. O dispositivo não equivale a um direito geral de toda pessoa jurídica a determinado alcance, nem explicita garantia universal de revisão por pessoa humana. A aplicabilidade depende do tratamento e da situação concreta [22].</w:t>
      </w:r>
    </w:p>
    <w:p>
      <w:pPr>
        <w:jc w:val="both"/>
      </w:pPr>
      <w:r>
        <w:t>Na União Europeia, o Regulamento dos Serviços Digitais prevê, dentro de seu âmbito e com as condições e exceções aplicáveis, fundamentação de restrições, mecanismos de reclamação e transparência sobre recomendações. Os artigos 17, 20 e 27 são referências de desenho institucional, também explicadas no guia da Comissão Europeia. Não se trata de legislação brasileira, e o regulamento não garante um nível mínimo de exposição comercial [23,28].</w:t>
      </w:r>
    </w:p>
    <w:p>
      <w:pPr>
        <w:jc w:val="both"/>
      </w:pPr>
      <w:r>
        <w:t>Este artigo propõe parâmetros de política e gestão; não presume que toda recomendação já seja uma obrigação legal. A avaliação jurídica de um caso depende de fatos, contratos, jurisdição e normas aplicáveis. Para decisões de crédito ou uso de dados sensíveis, a definição do processo deve envolver responsáveis jurídicos e de proteção de dados, com participação das áreas de negócio.</w:t>
      </w:r>
    </w:p>
    <w:p>
      <w:pPr>
        <w:pStyle w:val="Heading1"/>
        <w:pageBreakBefore w:val="0"/>
        <w:jc w:val="left"/>
      </w:pPr>
      <w:r>
        <w:t>12 Proposta atualizada para o Sebrae</w:t>
      </w:r>
    </w:p>
    <w:p>
      <w:pPr>
        <w:jc w:val="both"/>
      </w:pPr>
      <w:r>
        <w:t>O vínculo com o Sebrae é o desenvolvimento dos pequenos negócios e sua capacidade de competir. Médias e grandes empresas entram como referência comparativa, clientes, fornecedores, parceiros de cadeia e detentores de infraestrutura. O público imediato da oficina são colaboradores do Sebrae; o público de aplicação posterior são micro e pequenos negócios. O Observatório Setorial Territorial oferece apoio para contextualizar atividades e territórios [24].</w:t>
      </w:r>
    </w:p>
    <w:p>
      <w:pPr>
        <w:pStyle w:val="Heading2"/>
        <w:jc w:val="left"/>
      </w:pPr>
      <w:r>
        <w:t>Objetivo e entregas</w:t>
      </w:r>
    </w:p>
    <w:p>
      <w:pPr>
        <w:jc w:val="both"/>
      </w:pPr>
      <w:r>
        <w:t>Propõe-se a oficina “Quem a IA deixa de fora? Vieses, barreiras e filtros críticos para um futuro mais inclusivo”, com 120 minutos e turma inicial sugerida de 20 a 30 colaboradores. Essa faixa é uma escolha logística, não dimensionamento estatístico. Ao final, espera-se que cada grupo consiga reconhecer um mecanismo de exclusão, apresentar uma explicação alternativa, selecionar evidências e formular uma intervenção viável no atendimento aos empreendedores.</w:t>
      </w:r>
    </w:p>
    <w:p>
      <w:pPr>
        <w:jc w:val="both"/>
      </w:pPr>
      <w:r>
        <w:t>As entregas são um diagnóstico comentado, o registro das duas rodadas de uma simulação, um plano 5W2H com indicador e limite de recursos, e uma avaliação de aprendizagem. A coordenação recebe uma síntese agregada com barreiras, ajustes propostos e responsáveis. Um acompanhamento em 30 dias verifica aplicação, inclusive dificuldades e desistências. O piloto de 90 dias é uma etapa posterior, a pactuar após a avaliação da oficina.</w:t>
      </w:r>
    </w:p>
    <w:p>
      <w:pPr>
        <w:pStyle w:val="Heading2"/>
        <w:jc w:val="left"/>
      </w:pPr>
      <w:r>
        <w:t>Preparação e responsabilidades</w:t>
      </w:r>
    </w:p>
    <w:p>
      <w:pPr>
        <w:jc w:val="both"/>
      </w:pPr>
      <w:r>
        <w:t>A coordenação indica um ponto focal para mobilização, sala, acessibilidade e acompanhamento. A condução técnica proposta é de Ana Maria Carvalheiro, com uma pessoa de apoio para materiais, tempo e registro. A facilitação prepara casos fictícios e critérios de correção; o ponto focal coleta necessidades de acesso com antecedência; cada grupo registra decisões e apresenta seu plano. Nenhuma atividade exige senha, conta paga ou exposição pública de dificuldades individuais.</w:t>
      </w:r>
    </w:p>
    <w:p>
      <w:pPr>
        <w:jc w:val="both"/>
      </w:pPr>
      <w:r>
        <w:t>São necessários projeção, cartões em tamanho legível, fichas de atenção, papel ou planilha, calculadora e formulário acessível. A atividade funciona integralmente sem Internet. Prever leitura em voz alta, alto contraste, alternativa ao registro manuscrito e participação sem competição por velocidade. Os custos a cotar incluem preparação, facilitação, apoio, acessibilidade, impressão, eventual deslocamento e acompanhamento. Não se fixa valor sem escopo e condições pactuados.</w:t>
      </w:r>
    </w:p>
    <w:p>
      <w:pPr>
        <w:pStyle w:val="Heading2"/>
        <w:jc w:val="left"/>
      </w:pPr>
      <w:r>
        <w:t>Ferramentas de gestão com uma função definida</w:t>
      </w:r>
    </w:p>
    <w:p>
      <w:pPr>
        <w:jc w:val="both"/>
      </w:pPr>
      <w:r>
        <w:t>O Canvas explicita a proposta de valor e os canais; o mapa de empatia levanta hipóteses sobre necessidades que devem ser verificadas com clientes; a SWOT organiza dependências e alternativas; o 5W2H transforma a decisão em ação; e o PDCA orienta a revisão após o teste. Essas ferramentas aparecem em materiais formativos do Sebrae [26–27], sem evidência de ranking institucional de uso. Na oficina de duas horas, priorizam-se 5W2H e PDCA; as demais são apoio ao diagnóstico, para evitar sobrecarga.</w:t>
      </w:r>
    </w:p>
    <w:p>
      <w:pPr>
        <w:jc w:val="both"/>
      </w:pPr>
      <w:r>
        <w:t xml:space="preserve">A taxonomia da economia da criação de conteúdo permite perguntar quem cria, quem contrata, quem distribui, quem monetiza e quem assume o risco em cada caso [2]. IA generativa pode apoiar rascunhos e linguagem acessível, com conferência de fatos. Para agentes que publicam ou alteram campanhas, aplicar identificação, autorização limitada, revisão de ações relevantes e registros [3]. A oficina não condiciona aprendizagem à contratação de software nem pressupõe autorização para usar dados de clientes.</w:t>
      </w:r>
    </w:p>
    <w:p>
      <w:pPr>
        <w:pStyle w:val="Heading2"/>
        <w:jc w:val="left"/>
      </w:pPr>
      <w:r>
        <w:t>Piloto de 90 dias e decisão de continuidade</w:t>
      </w:r>
    </w:p>
    <w:p>
      <w:pPr>
        <w:jc w:val="both"/>
      </w:pPr>
      <w:r>
        <w:t>Dias 1 a 15: selecionar voluntariamente os negócios, incluir diferentes condições de entrada e registrar a linha de base. Dias 16 a 45: cada negócio executa uma mudança delimitada, com hipótese, responsável, custo máximo e critério de interrupção. Dias 46 a 75: acompanhar resultados, perdas de acompanhamento e fatores externos; usar comparação apropriada quando viável. Dias 76 a 90: consolidar custos, práticas mantidas, resultados positivos, nulos e negativos, e decidir sobre nova rodada.</w:t>
      </w:r>
    </w:p>
    <w:p>
      <w:pPr>
        <w:jc w:val="both"/>
      </w:pPr>
      <w:r>
        <w:t>O ponto focal deve registrar quem foi convidado, quem participou e quem desistiu, com motivos voluntariamente informados. O protocolo define finalidade, acesso, retenção e descarte de dados. O relatório agregado informa resultados por condição inicial quando o tamanho dos grupos permitir, sem identificar pessoas ou negócios. Ampliar o piloto depende de capacidade operacional, qualidade da informação e benefício plausível; demonstrar impacto causal requer desenho específico, não apenas melhora após a capacitação.</w:t>
      </w:r>
    </w:p>
    <w:p>
      <w:pPr>
        <w:jc w:val="both"/>
      </w:pPr>
      <w:r>
        <w:t>Para a reunião de quinta-feira, 15 de outubro de 2026, as decisões propostas são: confirmar o público e a duração; designar o ponto focal; pactuar entregas, acessibilidade e custos; e decidir se haverá acompanhamento e piloto. A oficina pode ser aprovada como atividade autônoma, com o piloto submetido a uma decisão posterior baseada nas evidências coletadas.</w:t>
      </w:r>
    </w:p>
    <w:p>
      <w:pPr>
        <w:pStyle w:val="Heading1"/>
        <w:pageBreakBefore w:val="0"/>
        <w:jc w:val="left"/>
      </w:pPr>
      <w:r>
        <w:t>13 Oficina lúdica e avaliação do sucesso</w:t>
      </w:r>
    </w:p>
    <w:p>
      <w:pPr>
        <w:pStyle w:val="Heading2"/>
        <w:jc w:val="left"/>
      </w:pPr>
      <w:r>
        <w:t>Percurso de 120 minutos</w:t>
      </w:r>
    </w:p>
    <w:tbl>
      <w:tblPr>
        <w:tblW w:type="auto" w:w="0"/>
        <w:jc w:val="center"/>
        <w:tblLayout w:type="fixed"/>
        <w:tblLook w:firstColumn="1" w:firstRow="1" w:lastColumn="0" w:lastRow="0" w:noHBand="0" w:noVBand="1" w:val="04A0"/>
      </w:tblPr>
      <w:tblGrid>
        <w:gridCol w:w="1440"/>
        <w:gridCol w:w="3888"/>
        <w:gridCol w:w="4248"/>
      </w:tblGrid>
      <w:tr>
        <w:trPr>
          <w:cantSplit/>
          <w:tblHeader/>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Tempo</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Atividade</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Evidência produzida</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0 a 15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Diagnóstico individual com casos breves.</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Respostas iniciais codificadas sem nome.</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15 a 30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Conceitos e leitura orientada de um gráfico.</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Distinção entre adoção, alcance, resultado e restrição.</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30 a 45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Perfis fictícios e regras da simulação.</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Registro das hipóteses e condições iguais.</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45 a 60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Rodada 1 com distribuição por histórico.</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Fichas recebidas e oportunidades por perfil.</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60 a 75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Rodada 2 com reserva para descoberta.</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Comparação após alterar somente uma regra.</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75 a 95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Discussão e caso de restrição de conteúdo.</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Hipótese de viés, alternativa e evidência necessária.</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95 a 110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Plano 5W2H e revisão pelo PDCA.</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Ação com responsável, prazo, medida e limite.</w:t>
            </w:r>
          </w:p>
        </w:tc>
      </w:tr>
      <w:tr>
        <w:trPr>
          <w:cantSplit/>
        </w:trP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110 a 120 min</w:t>
            </w:r>
          </w:p>
        </w:tc>
        <w:tc>
          <w:tcPr>
            <w:tcW w:type="dxa" w:w="38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Casos equivalentes e compromisso de aplicação.</w:t>
            </w:r>
          </w:p>
        </w:tc>
        <w:tc>
          <w:tcPr>
            <w:tcW w:type="dxa" w:w="42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Avaliação final e encaminhamento em 30 dias.</w:t>
            </w:r>
          </w:p>
        </w:tc>
      </w:tr>
    </w:tbl>
    <w:p>
      <w:pPr>
        <w:spacing w:after="0"/>
      </w:pPr>
    </w:p>
    <w:p>
      <w:pPr>
        <w:pStyle w:val="Caption"/>
      </w:pPr>
      <w:r>
        <w:t>Quadro 4. Roteiro proposto. A distribuição do tempo pode ser ajustada às necessidades de acesso, preservando diagnóstico, experiência, reflexão e avaliação.</w:t>
      </w:r>
    </w:p>
    <w:p>
      <w:pPr>
        <w:jc w:val="both"/>
      </w:pPr>
      <w:r>
        <w:t>O jogo utiliza três negócios fictícios com a mesma qualidade e capacidade de atendimento. A primeira regra privilegia histórico; a segunda reserva parte da atenção para descoberta. Alterar somente essa regra permite discutir sua consequência dentro do modelo. As regras completas e os resultados esperados estão no Apêndice A. A simulação não reproduz sistemas reais e não estima o efeito de uma política de plataforma.</w:t>
      </w:r>
    </w:p>
    <w:p>
      <w:pPr>
        <w:jc w:val="both"/>
      </w:pPr>
      <w:r>
        <w:t>Na discussão, perguntar quem ganhou ou perdeu exposição, qual critério foi escolhido e que informações ficaram fora do modelo. Depois, apresentar uma restrição hipotética e pedir um recurso baseado em registros, sem prometer reversão. O plano deve levar o aprendizado a uma situação do atendimento do Sebrae. O mapa de empatia pode revelar necessidades; não deve ser usado para atribuir características a grupos sem escuta.</w:t>
      </w:r>
    </w:p>
    <w:p>
      <w:pPr>
        <w:pStyle w:val="Heading2"/>
        <w:jc w:val="left"/>
      </w:pPr>
      <w:r>
        <w:t>Critérios de avaliação e interpretação</w:t>
      </w:r>
    </w:p>
    <w:p>
      <w:pPr>
        <w:jc w:val="both"/>
      </w:pPr>
      <w:r>
        <w:t>Avaliar cinco competências antes e depois, com casos equivalentes e rubrica de 0 a 2 por competência, total de 10 pontos. O Apêndice B apresenta questões e critérios. Relatar média, mediana e distribuição dos escores, número de respostas pareadas e ausências. Participantes com pontuação inicial alta devem ser avaliados pela manutenção do domínio, evitando que o efeito de teto pareça fracasso pedagógico.</w:t>
      </w:r>
    </w:p>
    <w:p>
      <w:pPr>
        <w:jc w:val="both"/>
      </w:pPr>
      <w:r>
        <w:t>Como critérios iniciais para o piloto, propõe-se que pelo menos 80% dos respondentes finais alcancem 8 de 10 pontos e que ao menos 80% dos grupos apresentem plano completo, com correção das falhas antes do encaminhamento. São metas de gestão a pactuar, não parâmetros validados. Se não forem atingidas, revisar linguagem, ritmo ou dinâmica e oferecer devolutiva. Mesmo quando atingidas, não se atribui causalidade à oficina sem comparação adequada.</w:t>
      </w:r>
    </w:p>
    <w:p>
      <w:pPr>
        <w:jc w:val="both"/>
      </w:pPr>
      <w:r>
        <w:t>Em 30 dias, verificar ações documentadas entre todos os participantes e, separadamente, entre os respondentes. Ausência de resposta não comprova aplicação nem fracasso. O relatório informa a taxa de resposta, os motivos conhecidos de não aplicação e as barreiras com responsável e prazo de encaminhamento. Satisfação é complementar; crescimento de seguidores e aumento de vendas não são condições universais de sucesso pedagógico.</w:t>
      </w:r>
    </w:p>
    <w:p>
      <w:pPr>
        <w:pStyle w:val="Heading1"/>
        <w:pageBreakBefore w:val="0"/>
        <w:jc w:val="left"/>
      </w:pPr>
      <w:r>
        <w:t>14 Prospecções para promoção digital</w:t>
      </w:r>
    </w:p>
    <w:p>
      <w:pPr>
        <w:jc w:val="both"/>
      </w:pPr>
      <w:r>
        <w:t>Os cenários a seguir são exercícios condicionais para 2027–2029, e não previsões probabilísticas, estimativas de mercado ou promessas de crescimento. Partem dos mecanismos discutidos e ajudam a escolher decisões que possam ser revistas. O acompanhamento deve observar custos, qualidade dos contatos, dependência e acessibilidade, tanto no Brasil quanto em operações internacionais.</w:t>
      </w:r>
    </w:p>
    <w:p>
      <w:pPr>
        <w:pStyle w:val="Heading2"/>
        <w:jc w:val="left"/>
      </w:pPr>
      <w:r>
        <w:t>Maior oferta de conteúdo e competição por atenção</w:t>
      </w:r>
    </w:p>
    <w:p>
      <w:pPr>
        <w:jc w:val="both"/>
      </w:pPr>
      <w:r>
        <w:t>Se ferramentas generativas reduzirem o custo de produzir peças, poderá haver mais conteúdo semelhante disputando o mesmo tempo do público. O efeito sobre o custo de publicidade não é determinado antecipadamente: depende de demanda dos anunciantes, oferta de inventário, qualidade e regras. Sinais a observar são repetição de peças, queda de contatos qualificados por hora de produção e mudanças no custo por resultado. A resposta proposta é testar qualidade e pertinência, preservar evidência de autoria e reduzir produção sem finalidade.</w:t>
      </w:r>
    </w:p>
    <w:p>
      <w:pPr>
        <w:pStyle w:val="Heading2"/>
        <w:jc w:val="left"/>
      </w:pPr>
      <w:r>
        <w:t>Busca por confiança e relacionamento</w:t>
      </w:r>
    </w:p>
    <w:p>
      <w:pPr>
        <w:jc w:val="both"/>
      </w:pPr>
      <w:r>
        <w:t>Se usuários enfrentarem mais fraude ou informação pouco confiável, demonstrações verificáveis, atendimento consistente e reputação contextual podem ganhar valor. Isso não significa que pagar por um selo resolverá a confiança. A empresa deve acompanhar dúvidas recorrentes, reclamações, recompra e origem das indicações. Parcerias com criadores locais podem ser testadas com contratos e medidas proporcionais, sem presumir que públicos menores produzam melhor retorno em todos os setores.</w:t>
      </w:r>
    </w:p>
    <w:p>
      <w:pPr>
        <w:pStyle w:val="Heading2"/>
        <w:jc w:val="left"/>
      </w:pPr>
      <w:r>
        <w:t>Maior possibilidade de contestação e portabilidade</w:t>
      </w:r>
    </w:p>
    <w:p>
      <w:pPr>
        <w:jc w:val="both"/>
      </w:pPr>
      <w:r>
        <w:t>Se regras e procedimentos ampliarem explicações, acesso a registros e capacidade de recurso, empresas poderão diagnosticar incidentes com menos dependência de intermediários. O resultado dependerá da implementação e da capacidade de utilizar essas ferramentas. Os sinais relevantes são prazo de resposta, informação fornecida, reversões fundamentadas e continuidade de atendimento. O Sebrae pode apoiar modelos de registro e leitura de evidências sem prometer recuperação de contas.</w:t>
      </w:r>
    </w:p>
    <w:p>
      <w:pPr>
        <w:pStyle w:val="Heading2"/>
        <w:jc w:val="left"/>
      </w:pPr>
      <w:r>
        <w:t>Promoção nacional e internacional</w:t>
      </w:r>
    </w:p>
    <w:p>
      <w:pPr>
        <w:jc w:val="both"/>
      </w:pPr>
      <w:r>
        <w:t>No mercado nacional, o teste deve considerar território, conectividade, linguagem e formas reais de atendimento. Em expansão internacional, tradução automática não substitui adequação cultural, condições de entrega, preço final, suporte e regras aplicáveis. Um conteúdo que engaja fora do país pode gerar demanda que a empresa não consegue atender. A prospecção deve começar por capacidade comercial e operacional, com pilotos limitados, e não por uma meta abstrata de seguidores estrangeiros.</w:t>
      </w:r>
    </w:p>
    <w:p>
      <w:pPr>
        <w:jc w:val="both"/>
      </w:pPr>
      <w:r>
        <w:t>Para cada cenário, registrar uma decisão reversível: manter, alterar, interromper ou ampliar um canal. A empresa precisa definir antecipadamente que evidência justificaria a mudança. Esse procedimento reduz a tendência de defender uma campanha apenas porque já consumiu tempo e dinheiro. O aprendizado pode incluir a conclusão de que determinada plataforma não é adequada ao negócio naquele momento.</w:t>
      </w:r>
    </w:p>
    <w:p>
      <w:pPr>
        <w:pStyle w:val="Heading1"/>
        <w:pageBreakBefore w:val="0"/>
        <w:jc w:val="left"/>
      </w:pPr>
      <w:r>
        <w:t>15 Conclusões e agenda de pesquisa</w:t>
      </w:r>
    </w:p>
    <w:p>
      <w:pPr>
        <w:jc w:val="both"/>
      </w:pPr>
      <w:r>
        <w:t>As redes sociais podem reduzir barreiras de descoberta e criar novas dependências. A contribuição deste artigo é mostrar que engajamento, silenciamento e desempenho econômico exigem medidas distintas. Os levantamentos indicam diferenças entre portes; os estudos experimentais revelam mecanismos de entrega desigual e limites de mensuração. Nenhuma dessas evidências autoriza uma explicação universal para toda queda de alcance.</w:t>
      </w:r>
    </w:p>
    <w:p>
      <w:pPr>
        <w:jc w:val="both"/>
      </w:pPr>
      <w:r>
        <w:t>Os vieses atravessam dados, objetivos de otimização, decisões humanas, interpretação de contexto e capacidade de recurso. Eles não devem aparecer apenas como nota ética ao final de uma estratégia comercial. Precisam orientar quais públicos entram no diagnóstico, quais métricas são escolhidas, como uma hipótese é testada e quem consegue contestar um erro. Essa exigência vale também para os instrumentos usados por quem oferece apoio aos empreendedores.</w:t>
      </w:r>
    </w:p>
    <w:p>
      <w:pPr>
        <w:jc w:val="both"/>
      </w:pPr>
      <w:r>
        <w:t>Para pequenos negócios, a prioridade proposta é transformar presença em relações economicamente viáveis e reduzir dependências críticas. Para médias empresas, integrar informação e decisão. Para grandes organizações, assumir governança proporcional e examinar impactos sobre suas cadeias. O porte altera recursos e possibilidades; não determina competência, legitimidade ou valor social.</w:t>
      </w:r>
    </w:p>
    <w:p>
      <w:pPr>
        <w:jc w:val="both"/>
      </w:pPr>
      <w:r>
        <w:t>Para o Sebrae, a agenda mais consistente combina formação crítica, ferramentas simples de gestão, acessibilidade e avaliação. Capacitar para publicar é apenas parte do trabalho. Também é necessário ensinar a ler indicadores, reconhecer limitações, documentar incidentes e decidir quando interromper uma ação. O resultado esperado é ampliar a capacidade de escolha dos empreendedores, e não normalizar gasto permanente para buscar visibilidade.</w:t>
      </w:r>
    </w:p>
    <w:p>
      <w:pPr>
        <w:pStyle w:val="Heading2"/>
        <w:jc w:val="left"/>
      </w:pPr>
      <w:r>
        <w:t>Questões que permanecem abertas</w:t>
      </w:r>
    </w:p>
    <w:p>
      <w:pPr>
        <w:jc w:val="both"/>
      </w:pPr>
      <w:r>
        <w:t>Faltam, no conjunto consultado, evidências suficientes para estimar a prevalência nacional de restrições indevidas por porte empresarial e seus efeitos sobre lucro, sobrevivência ou crédito. Uma agenda de pesquisa poderia acompanhar negócios ativos e desistentes, registrar incidentes verificáveis e combinar dados de plataforma com resultados comerciais. As análises deveriam considerar setor, região, maturidade, recursos e formas de desigualdade, com proteção dos participantes.</w:t>
      </w:r>
    </w:p>
    <w:p>
      <w:pPr>
        <w:jc w:val="both"/>
      </w:pPr>
      <w:r>
        <w:t>Também é necessário avaliar o efeito de intervenções: orientação sobre recursos reduz o tempo de restrição? Formação em mensuração melhora decisões de gasto? Acessibilidade amplia atendimento? Diversificação reduz perdas em interrupções? Para cada pergunta, definir um resultado primário, grupo de comparação quando possível, prazo e limites de inferência. A qualidade da pesquisa depende tanto do desenho quanto de incluir quem costuma ficar fora da amostra.</w:t>
      </w:r>
    </w:p>
    <w:p>
      <w:pPr>
        <w:pStyle w:val="Heading2"/>
        <w:jc w:val="left"/>
      </w:pPr>
      <w:r>
        <w:t>Nota de autoria e integridade</w:t>
      </w:r>
    </w:p>
    <w:p>
      <w:pPr>
        <w:jc w:val="both"/>
      </w:pPr>
      <w:r>
        <w:t>Autoria de Ana Maria Carvalheiro. A pesquisa documental, a redação e a preparação visual tiveram apoio de ferramentas de inteligência artificial. Não foram realizadas entrevistas ou experimentos próprios; dados de terceiros, interpretação e simulação estão identificados. A proposta de oficina é de elaboração autoral e depende de pactuação com o Sebrae. A versão não foi submetida a avaliação por pares.</w:t>
      </w:r>
    </w:p>
    <w:p>
      <w:pPr>
        <w:pStyle w:val="Heading1"/>
        <w:pageBreakBefore/>
        <w:jc w:val="left"/>
      </w:pPr>
      <w:r>
        <w:t>Referências</w:t>
      </w:r>
    </w:p>
    <w:p>
      <w:pPr>
        <w:pStyle w:val="Caption"/>
        <w:jc w:val="left"/>
      </w:pPr>
      <w:r>
        <w:t>Fontes digitais consultadas em 14 de outubro de 2026. As referências 1 a 3 são materiais autorais fornecidos para este trabalho. Documentação corporativa é utilizada como descrição de regras declaradas; sua presença não constitui endosso nem validação independente. Os títulos de páginas de ajuda podem variar conforme idioma e atualização.</w:t>
      </w:r>
    </w:p>
    <w:p>
      <w:pPr>
        <w:keepLines/>
        <w:spacing w:after="140" w:line="250" w:lineRule="auto"/>
        <w:ind w:firstLine="0"/>
        <w:jc w:val="left"/>
      </w:pPr>
      <w:r>
        <w:rPr>
          <w:sz w:val="19"/>
        </w:rPr>
        <w:t>[1] CARVALHEIRO, Ana Maria. Algoritmos do Poder: dados, raça e desigualdade na sociedade automatizada. Manuscrito fornecido pela autora, versão integrada consultada em 2026. Referência conceitual, especialmente capítulos iniciais sobre classificação, visibilidade e governança.</w:t>
      </w:r>
    </w:p>
    <w:p>
      <w:pPr>
        <w:keepLines/>
        <w:spacing w:after="140" w:line="250" w:lineRule="auto"/>
        <w:ind w:firstLine="0"/>
        <w:jc w:val="left"/>
      </w:pPr>
      <w:r>
        <w:rPr>
          <w:sz w:val="19"/>
        </w:rPr>
        <w:t xml:space="preserve">[2] CARVALHEIRO, Ana Maria. Trama Digital e a economia da criação de conteúdo. Manuscrito fornecido pela autora, 2026.</w:t>
      </w:r>
    </w:p>
    <w:p>
      <w:pPr>
        <w:keepLines/>
        <w:spacing w:after="140" w:line="250" w:lineRule="auto"/>
        <w:ind w:firstLine="0"/>
        <w:jc w:val="left"/>
      </w:pPr>
      <w:r>
        <w:rPr>
          <w:sz w:val="19"/>
        </w:rPr>
        <w:t>[3] CARVALHEIRO, Ana Maria. Agentes autônomos de inteligência artificial: identidade digital, autorização, segurança e accountability em sistemas agênticos. Manuscrito fornecido pela autora, 2026.</w:t>
      </w:r>
    </w:p>
    <w:p>
      <w:pPr>
        <w:keepLines/>
        <w:spacing w:after="140" w:line="250" w:lineRule="auto"/>
        <w:ind w:firstLine="0"/>
        <w:jc w:val="left"/>
      </w:pPr>
      <w:r>
        <w:rPr>
          <w:sz w:val="19"/>
        </w:rPr>
        <w:t>[4] CGI.br; NIC.br. TIC Empresas 2025: principais resultados. Cetic.br, 15 jun. 2026. Apresentação, especialmente metodologia e indicador E2C.</w:t>
      </w:r>
      <w:r>
        <w:br/>
      </w:r>
      <w:hyperlink r:id="rId15">
        <w:r>
          <w:rPr>
            <w:color w:val="12616B"/>
            <w:sz w:val="19"/>
          </w:rPr>
          <w:t>https://cetic.br/media/analises/TIC-Empresas-2025-lancamento.pdf</w:t>
        </w:r>
      </w:hyperlink>
    </w:p>
    <w:p>
      <w:pPr>
        <w:keepLines/>
        <w:spacing w:after="140" w:line="250" w:lineRule="auto"/>
        <w:ind w:firstLine="0"/>
        <w:jc w:val="left"/>
      </w:pPr>
      <w:r>
        <w:rPr>
          <w:sz w:val="19"/>
        </w:rPr>
        <w:t>[5] SEBRAE. WhatsApp se consolida nas vendas on-line enquanto Facebook e lojas próprias perdem fôlego. Agência Sebrae de Notícias, 16 abr. 2026. Divulgação da 12ª Pesquisa Pulso dos Pequenos Negócios.</w:t>
      </w:r>
      <w:r>
        <w:br/>
      </w:r>
      <w:hyperlink r:id="rId16">
        <w:r>
          <w:rPr>
            <w:color w:val="12616B"/>
            <w:sz w:val="19"/>
          </w:rPr>
          <w:t>https://agenciasebrae.com.br/dados/whatsapp-se-consolida-nas-vendas-on-line-enquanto-facebook-e-lojas-proprias-perdem-folego/</w:t>
        </w:r>
      </w:hyperlink>
    </w:p>
    <w:p>
      <w:pPr>
        <w:keepLines/>
        <w:spacing w:after="140" w:line="250" w:lineRule="auto"/>
        <w:ind w:firstLine="0"/>
        <w:jc w:val="left"/>
      </w:pPr>
      <w:r>
        <w:rPr>
          <w:sz w:val="19"/>
        </w:rPr>
        <w:t>[6] EUROSTAT. Social media — statistics on the use by enterprises. Statistics Explained. Dados de 2025; extração em jun. 2026.</w:t>
      </w:r>
      <w:r>
        <w:br/>
      </w:r>
      <w:hyperlink r:id="rId17">
        <w:r>
          <w:rPr>
            <w:color w:val="12616B"/>
            <w:sz w:val="19"/>
          </w:rPr>
          <w:t>https://ec.europa.eu/eurostat/statistics-explained/index.php?title=Social_media_-_statistics_on_the_use_by_enterprises</w:t>
        </w:r>
      </w:hyperlink>
    </w:p>
    <w:p>
      <w:pPr>
        <w:keepLines/>
        <w:spacing w:after="140" w:line="250" w:lineRule="auto"/>
        <w:ind w:firstLine="0"/>
        <w:jc w:val="left"/>
      </w:pPr>
      <w:r>
        <w:rPr>
          <w:sz w:val="19"/>
        </w:rPr>
        <w:t>[7] OECD. SME Digitalisation for Competitiveness: 2025 OECD D4SME Survey. Policy Highlights. Paris, 2025.</w:t>
      </w:r>
      <w:r>
        <w:br/>
      </w:r>
      <w:hyperlink r:id="rId18">
        <w:r>
          <w:rPr>
            <w:color w:val="12616B"/>
            <w:sz w:val="19"/>
          </w:rPr>
          <w:t>https://www.oecd.org/content/dam/oecd/en/networks/oecd-digital-for-smes-global-initiative/D4SME-2025-Policy-Highlights.pdf</w:t>
        </w:r>
      </w:hyperlink>
    </w:p>
    <w:p>
      <w:pPr>
        <w:keepLines/>
        <w:spacing w:after="140" w:line="250" w:lineRule="auto"/>
        <w:ind w:firstLine="0"/>
        <w:jc w:val="left"/>
      </w:pPr>
      <w:r>
        <w:rPr>
          <w:sz w:val="19"/>
        </w:rPr>
        <w:t>[8] SCHWARTZ, Reva et al. Towards a Standard for Identifying and Managing Bias in Artificial Intelligence. NIST Special Publication 1270, 2022. DOI 10.6028/NIST.SP.1270.</w:t>
      </w:r>
      <w:r>
        <w:br/>
      </w:r>
      <w:hyperlink r:id="rId19">
        <w:r>
          <w:rPr>
            <w:color w:val="12616B"/>
            <w:sz w:val="19"/>
          </w:rPr>
          <w:t>https://doi.org/10.6028/NIST.SP.1270</w:t>
        </w:r>
      </w:hyperlink>
    </w:p>
    <w:p>
      <w:pPr>
        <w:keepLines/>
        <w:spacing w:after="140" w:line="250" w:lineRule="auto"/>
        <w:ind w:firstLine="0"/>
        <w:jc w:val="left"/>
      </w:pPr>
      <w:r>
        <w:rPr>
          <w:sz w:val="19"/>
        </w:rPr>
        <w:t>[9] ALI, Muhammad; SAPIEZYNSKI, Piotr; BOGEN, Miranda; KOROLOVA, Aleksandra; MISLOVE, Alan; RIEKE, Aaron. Discrimination through Optimization: How Facebook’s Ad Delivery Can Lead to Biased Outcomes. Proceedings of the ACM on Human-Computer Interaction, v. 3, CSCW, art. 199, p. 1–30, 2019.</w:t>
      </w:r>
      <w:r>
        <w:br/>
      </w:r>
      <w:hyperlink r:id="rId20">
        <w:r>
          <w:rPr>
            <w:color w:val="12616B"/>
            <w:sz w:val="19"/>
          </w:rPr>
          <w:t>https://doi.org/10.1145/3359301</w:t>
        </w:r>
      </w:hyperlink>
    </w:p>
    <w:p>
      <w:pPr>
        <w:keepLines/>
        <w:spacing w:after="140" w:line="250" w:lineRule="auto"/>
        <w:ind w:firstLine="0"/>
        <w:jc w:val="left"/>
      </w:pPr>
      <w:r>
        <w:rPr>
          <w:sz w:val="19"/>
        </w:rPr>
        <w:t>[10] LAMBRECHT, Anja; TUCKER, Catherine. Algorithmic Bias? An Empirical Study of Apparent Gender-Based Discrimination in the Display of STEM Career Ads. Management Science, v. 65, n. 7, p. 2966–2981, 2019.</w:t>
      </w:r>
      <w:r>
        <w:br/>
      </w:r>
      <w:hyperlink r:id="rId21">
        <w:r>
          <w:rPr>
            <w:color w:val="12616B"/>
            <w:sz w:val="19"/>
          </w:rPr>
          <w:t>https://doi.org/10.1287/mnsc.2018.3093</w:t>
        </w:r>
      </w:hyperlink>
    </w:p>
    <w:p>
      <w:pPr>
        <w:keepLines/>
        <w:spacing w:after="140" w:line="250" w:lineRule="auto"/>
        <w:ind w:firstLine="0"/>
        <w:jc w:val="left"/>
      </w:pPr>
      <w:r>
        <w:rPr>
          <w:sz w:val="19"/>
        </w:rPr>
        <w:t>[11] GORDON, Brett R.; ZETTELMEYER, Florian; BHARGAVA, Neha; CHAPSKY, Dan. A Comparison of Approaches to Advertising Measurement: Evidence from Big Field Experiments at Facebook. Marketing Science, v. 38, n. 2, p. 193–225, 2019.</w:t>
      </w:r>
      <w:r>
        <w:br/>
      </w:r>
      <w:hyperlink r:id="rId22">
        <w:r>
          <w:rPr>
            <w:color w:val="12616B"/>
            <w:sz w:val="19"/>
          </w:rPr>
          <w:t>https://doi.org/10.1287/mksc.2018.1135</w:t>
        </w:r>
      </w:hyperlink>
    </w:p>
    <w:p>
      <w:pPr>
        <w:keepLines/>
        <w:spacing w:after="140" w:line="250" w:lineRule="auto"/>
        <w:ind w:firstLine="0"/>
        <w:jc w:val="left"/>
      </w:pPr>
      <w:r>
        <w:rPr>
          <w:sz w:val="19"/>
        </w:rPr>
        <w:t>[12] DAI, Weijia; KIM, Hyunjin; LUCA, Michael. Frontiers: Which Firms Gain from Digital Advertising? Evidence from a Field Experiment. Marketing Science, v. 42, n. 3, p. 429–439, 2023.</w:t>
      </w:r>
      <w:r>
        <w:br/>
      </w:r>
      <w:hyperlink r:id="rId23">
        <w:r>
          <w:rPr>
            <w:color w:val="12616B"/>
            <w:sz w:val="19"/>
          </w:rPr>
          <w:t>https://doi.org/10.1287/mksc.2023.1436</w:t>
        </w:r>
      </w:hyperlink>
    </w:p>
    <w:p>
      <w:pPr>
        <w:keepLines/>
        <w:spacing w:after="140" w:line="250" w:lineRule="auto"/>
        <w:ind w:firstLine="0"/>
        <w:jc w:val="left"/>
      </w:pPr>
      <w:r>
        <w:rPr>
          <w:sz w:val="19"/>
        </w:rPr>
        <w:t>[13] META. Ajudando o criador de conteúdo a encontrar novos públicos. 30 abr. 2024. Utilizado somente quanto à originalidade e distribuição; não como descrição atual de regras sobre conteúdo político.</w:t>
      </w:r>
      <w:r>
        <w:br/>
      </w:r>
      <w:hyperlink r:id="rId24">
        <w:r>
          <w:rPr>
            <w:color w:val="12616B"/>
            <w:sz w:val="19"/>
          </w:rPr>
          <w:t>https://about.fb.com/br/news/2024/04/ajudando-o-criador-de-conteudo-a-encontrar-novos-publicos/</w:t>
        </w:r>
      </w:hyperlink>
    </w:p>
    <w:p>
      <w:pPr>
        <w:keepLines/>
        <w:spacing w:after="140" w:line="250" w:lineRule="auto"/>
        <w:ind w:firstLine="0"/>
        <w:jc w:val="left"/>
      </w:pPr>
      <w:r>
        <w:rPr>
          <w:sz w:val="19"/>
        </w:rPr>
        <w:t>[14] META. Recompensando criadores originais no Facebook. Mar. 2026.</w:t>
      </w:r>
      <w:r>
        <w:br/>
      </w:r>
      <w:hyperlink r:id="rId25">
        <w:r>
          <w:rPr>
            <w:color w:val="12616B"/>
            <w:sz w:val="19"/>
          </w:rPr>
          <w:t>https://about.fb.com/br/news/2026/03/recompensando-criadores-originais-no-facebook/</w:t>
        </w:r>
      </w:hyperlink>
    </w:p>
    <w:p>
      <w:pPr>
        <w:keepLines/>
        <w:spacing w:after="140" w:line="250" w:lineRule="auto"/>
        <w:ind w:firstLine="0"/>
        <w:jc w:val="left"/>
      </w:pPr>
      <w:r>
        <w:rPr>
          <w:sz w:val="19"/>
        </w:rPr>
        <w:t>[15] META. Meta Verified: informações e benefícios para criadores. Central de Ajuda, documentação on-line.</w:t>
      </w:r>
      <w:r>
        <w:br/>
      </w:r>
      <w:hyperlink r:id="rId26">
        <w:r>
          <w:rPr>
            <w:color w:val="12616B"/>
            <w:sz w:val="19"/>
          </w:rPr>
          <w:t>https://www.facebook.com/help/565322618581808</w:t>
        </w:r>
      </w:hyperlink>
    </w:p>
    <w:p>
      <w:pPr>
        <w:keepLines/>
        <w:spacing w:after="140" w:line="250" w:lineRule="auto"/>
        <w:ind w:firstLine="0"/>
        <w:jc w:val="left"/>
      </w:pPr>
      <w:r>
        <w:rPr>
          <w:sz w:val="19"/>
        </w:rPr>
        <w:t>[16] LINKEDIN. How the LinkedIn feed works. Central de Ajuda, documentação on-line.</w:t>
      </w:r>
      <w:r>
        <w:br/>
      </w:r>
      <w:hyperlink r:id="rId27">
        <w:r>
          <w:rPr>
            <w:color w:val="12616B"/>
            <w:sz w:val="19"/>
          </w:rPr>
          <w:t>https://www.linkedin.com/help/linkedin/answer/a523360</w:t>
        </w:r>
      </w:hyperlink>
    </w:p>
    <w:p>
      <w:pPr>
        <w:keepLines/>
        <w:spacing w:after="140" w:line="250" w:lineRule="auto"/>
        <w:ind w:firstLine="0"/>
        <w:jc w:val="left"/>
      </w:pPr>
      <w:r>
        <w:rPr>
          <w:sz w:val="19"/>
        </w:rPr>
        <w:t>[17] LINKEDIN. Premium Company Page: features and benefits. Central de Ajuda, documentação on-line.</w:t>
      </w:r>
      <w:r>
        <w:br/>
      </w:r>
      <w:hyperlink r:id="rId28">
        <w:r>
          <w:rPr>
            <w:color w:val="12616B"/>
            <w:sz w:val="19"/>
          </w:rPr>
          <w:t>https://www.linkedin.com/help/linkedin/answer/a6284686</w:t>
        </w:r>
      </w:hyperlink>
    </w:p>
    <w:p>
      <w:pPr>
        <w:keepLines/>
        <w:spacing w:after="140" w:line="250" w:lineRule="auto"/>
        <w:ind w:firstLine="0"/>
        <w:jc w:val="left"/>
      </w:pPr>
      <w:r>
        <w:rPr>
          <w:sz w:val="19"/>
        </w:rPr>
        <w:t>[18] GOOGLE. Create and manage promotions on YouTube. YouTube Help, documentação on-line.</w:t>
      </w:r>
      <w:r>
        <w:br/>
      </w:r>
      <w:hyperlink r:id="rId29">
        <w:r>
          <w:rPr>
            <w:color w:val="12616B"/>
            <w:sz w:val="19"/>
          </w:rPr>
          <w:t>https://support.google.com/youtube/answer/12199105?hl=en</w:t>
        </w:r>
      </w:hyperlink>
    </w:p>
    <w:p>
      <w:pPr>
        <w:keepLines/>
        <w:spacing w:after="140" w:line="250" w:lineRule="auto"/>
        <w:ind w:firstLine="0"/>
        <w:jc w:val="left"/>
      </w:pPr>
      <w:r>
        <w:rPr>
          <w:sz w:val="19"/>
        </w:rPr>
        <w:t>[19] TIKTOK. Como o TikTok recomenda conteúdo. Central de Ajuda, documentação on-line.</w:t>
      </w:r>
      <w:r>
        <w:br/>
      </w:r>
      <w:hyperlink r:id="rId30">
        <w:r>
          <w:rPr>
            <w:color w:val="12616B"/>
            <w:sz w:val="19"/>
          </w:rPr>
          <w:t>https://support.tiktok.com/pt_BR/using-tiktok/exploring-videos/how-tiktok-recommends-content</w:t>
        </w:r>
      </w:hyperlink>
    </w:p>
    <w:p>
      <w:pPr>
        <w:keepLines/>
        <w:spacing w:after="140" w:line="250" w:lineRule="auto"/>
        <w:ind w:firstLine="0"/>
        <w:jc w:val="left"/>
      </w:pPr>
      <w:r>
        <w:rPr>
          <w:sz w:val="19"/>
        </w:rPr>
        <w:t>[20] TIKTOK. Verified accounts on TikTok. Central de Ajuda, documentação on-line.</w:t>
      </w:r>
      <w:r>
        <w:br/>
      </w:r>
      <w:hyperlink r:id="rId31">
        <w:r>
          <w:rPr>
            <w:color w:val="12616B"/>
            <w:sz w:val="19"/>
          </w:rPr>
          <w:t>https://support.tiktok.com/en/using-tiktok/growing-your-audience/how-to-tell-if-an-account-is-verified-on-tiktok</w:t>
        </w:r>
      </w:hyperlink>
    </w:p>
    <w:p>
      <w:pPr>
        <w:keepLines/>
        <w:spacing w:after="140" w:line="250" w:lineRule="auto"/>
        <w:ind w:firstLine="0"/>
        <w:jc w:val="left"/>
      </w:pPr>
      <w:r>
        <w:rPr>
          <w:sz w:val="19"/>
        </w:rPr>
        <w:t>[21] X. Sobre o X Premium. Central de Ajuda, documentação on-line.</w:t>
      </w:r>
      <w:r>
        <w:br/>
      </w:r>
      <w:hyperlink r:id="rId32">
        <w:r>
          <w:rPr>
            <w:color w:val="12616B"/>
            <w:sz w:val="19"/>
          </w:rPr>
          <w:t>https://help.x.com/pt/using-x/x-premium</w:t>
        </w:r>
      </w:hyperlink>
    </w:p>
    <w:p>
      <w:pPr>
        <w:keepLines/>
        <w:spacing w:after="140" w:line="250" w:lineRule="auto"/>
        <w:ind w:firstLine="0"/>
        <w:jc w:val="left"/>
      </w:pPr>
      <w:r>
        <w:rPr>
          <w:sz w:val="19"/>
        </w:rPr>
        <w:t>[22] BRASIL. Lei nº 13.709, de 14 de agosto de 2018. Lei Geral de Proteção de Dados Pessoais. Texto compilado, especialmente arts. 5º, 6º e 20.</w:t>
      </w:r>
      <w:r>
        <w:br/>
      </w:r>
      <w:hyperlink r:id="rId33">
        <w:r>
          <w:rPr>
            <w:color w:val="12616B"/>
            <w:sz w:val="19"/>
          </w:rPr>
          <w:t>https://www.planalto.gov.br/ccivil_03/_ato2015-2018/2018/lei/l13709compilado.htm</w:t>
        </w:r>
      </w:hyperlink>
    </w:p>
    <w:p>
      <w:pPr>
        <w:keepLines/>
        <w:spacing w:after="140" w:line="250" w:lineRule="auto"/>
        <w:ind w:firstLine="0"/>
        <w:jc w:val="left"/>
      </w:pPr>
      <w:r>
        <w:rPr>
          <w:sz w:val="19"/>
        </w:rPr>
        <w:t>[23] UNIÃO EUROPEIA. Regulamento (UE) 2022/2065, de 19 de outubro de 2022. Regulamento dos Serviços Digitais. Especialmente arts. 17, 20 e 27; considerar âmbito, condições e exceções aplicáveis.</w:t>
      </w:r>
      <w:r>
        <w:br/>
      </w:r>
      <w:hyperlink r:id="rId34">
        <w:r>
          <w:rPr>
            <w:color w:val="12616B"/>
            <w:sz w:val="19"/>
          </w:rPr>
          <w:t>https://eur-lex.europa.eu/eli/reg/2022/2065/oj</w:t>
        </w:r>
      </w:hyperlink>
    </w:p>
    <w:p>
      <w:pPr>
        <w:keepLines/>
        <w:spacing w:after="140" w:line="250" w:lineRule="auto"/>
        <w:ind w:firstLine="0"/>
        <w:jc w:val="left"/>
      </w:pPr>
      <w:r>
        <w:rPr>
          <w:sz w:val="19"/>
        </w:rPr>
        <w:t>[24] SEBRAE. Sobre o Observatório Setorial Territorial Brasil. Página institucional.</w:t>
      </w:r>
      <w:r>
        <w:br/>
      </w:r>
      <w:hyperlink r:id="rId35">
        <w:r>
          <w:rPr>
            <w:color w:val="12616B"/>
            <w:sz w:val="19"/>
          </w:rPr>
          <w:t>https://observatorio.sebrae.com.br/about</w:t>
        </w:r>
      </w:hyperlink>
    </w:p>
    <w:p>
      <w:pPr>
        <w:keepLines/>
        <w:spacing w:after="140" w:line="250" w:lineRule="auto"/>
        <w:ind w:firstLine="0"/>
        <w:jc w:val="left"/>
      </w:pPr>
      <w:r>
        <w:rPr>
          <w:sz w:val="19"/>
        </w:rPr>
        <w:t>[25] META. Benefícios do Meta Verified para empresas. Central de Ajuda para Empresas, documentação on-line.</w:t>
      </w:r>
      <w:r>
        <w:br/>
      </w:r>
      <w:hyperlink r:id="rId36">
        <w:r>
          <w:rPr>
            <w:color w:val="12616B"/>
            <w:sz w:val="19"/>
          </w:rPr>
          <w:t>https://www.facebook.com/business/help/248456111431653</w:t>
        </w:r>
      </w:hyperlink>
    </w:p>
    <w:p>
      <w:pPr>
        <w:keepLines/>
        <w:spacing w:after="140" w:line="250" w:lineRule="auto"/>
        <w:ind w:firstLine="0"/>
        <w:jc w:val="left"/>
      </w:pPr>
      <w:r>
        <w:rPr>
          <w:sz w:val="19"/>
        </w:rPr>
        <w:t>[26] SEBRAE PARANÁ. Ferramentas de planejamento. Infográfico, 2024.</w:t>
      </w:r>
      <w:r>
        <w:br/>
      </w:r>
      <w:hyperlink r:id="rId37">
        <w:r>
          <w:rPr>
            <w:color w:val="12616B"/>
            <w:sz w:val="19"/>
          </w:rPr>
          <w:t>https://www.sebraepr.com.br/wp-content/uploads/2024/07/Infografico-Ferramentas-de-Planejamento.pdf</w:t>
        </w:r>
      </w:hyperlink>
    </w:p>
    <w:p>
      <w:pPr>
        <w:keepLines/>
        <w:spacing w:after="140" w:line="250" w:lineRule="auto"/>
        <w:ind w:firstLine="0"/>
        <w:jc w:val="left"/>
      </w:pPr>
      <w:r>
        <w:rPr>
          <w:sz w:val="19"/>
        </w:rPr>
        <w:t>[27] SEBRAE. Planejamento para fazer acontecer: ferramentas, parte I. Página de curso.</w:t>
      </w:r>
      <w:r>
        <w:br/>
      </w:r>
      <w:hyperlink r:id="rId38">
        <w:r>
          <w:rPr>
            <w:color w:val="12616B"/>
            <w:sz w:val="19"/>
          </w:rPr>
          <w:t>https://loja.sebrae.com.br/planejamento-para-fazer-acontecer-ferramentas-parte-i-1-372000027104</w:t>
        </w:r>
      </w:hyperlink>
    </w:p>
    <w:p>
      <w:pPr>
        <w:keepLines/>
        <w:spacing w:after="140" w:line="250" w:lineRule="auto"/>
        <w:ind w:firstLine="0"/>
        <w:jc w:val="left"/>
      </w:pPr>
      <w:r>
        <w:rPr>
          <w:sz w:val="19"/>
        </w:rPr>
        <w:t>[28] COMISSÃO EUROPEIA. User rights under the Digital Services Act. Shaping Europe’s digital future. Atualização de 17 jul. 2026.</w:t>
      </w:r>
      <w:r>
        <w:br/>
      </w:r>
      <w:hyperlink r:id="rId39">
        <w:r>
          <w:rPr>
            <w:color w:val="12616B"/>
            <w:sz w:val="19"/>
          </w:rPr>
          <w:t>https://digital-strategy.ec.europa.eu/en/factpages/user-rights-under-digital-services-act</w:t>
        </w:r>
      </w:hyperlink>
    </w:p>
    <w:p>
      <w:pPr>
        <w:keepLines/>
        <w:spacing w:after="140" w:line="250" w:lineRule="auto"/>
        <w:ind w:firstLine="0"/>
        <w:jc w:val="left"/>
      </w:pPr>
      <w:r>
        <w:rPr>
          <w:sz w:val="19"/>
        </w:rPr>
        <w:t>[29] GAUTHIER, Germain; HODLER, Roland; WIDMER, Philine; ZHURAVSKAYA, Ekaterina. The political effects of X’s feed algorithm. Nature, v. 652, p. 416–423, 2026. Publicado on-line em 18 fev. 2026.</w:t>
      </w:r>
      <w:r>
        <w:br/>
      </w:r>
      <w:hyperlink r:id="rId40">
        <w:r>
          <w:rPr>
            <w:color w:val="12616B"/>
            <w:sz w:val="19"/>
          </w:rPr>
          <w:t>https://doi.org/10.1038/s41586-026-10098-2</w:t>
        </w:r>
      </w:hyperlink>
    </w:p>
    <w:p>
      <w:pPr>
        <w:keepLines/>
        <w:spacing w:after="140" w:line="250" w:lineRule="auto"/>
        <w:ind w:firstLine="0"/>
        <w:jc w:val="left"/>
      </w:pPr>
      <w:r>
        <w:rPr>
          <w:sz w:val="19"/>
        </w:rPr>
        <w:t>[30] PICCARDI, Tiziano; SAVESKI, Martin; JIA, Chenyan; HANCOCK, Jeffrey; TSAI, Jeanne L.; BERNSTEIN, Michael S. Reranking partisan animosity in algorithmic social media feeds alters affective polarization. Science, v. 390, n. 6776, eadu5584, 2025.</w:t>
      </w:r>
      <w:r>
        <w:br/>
      </w:r>
      <w:hyperlink r:id="rId41">
        <w:r>
          <w:rPr>
            <w:color w:val="12616B"/>
            <w:sz w:val="19"/>
          </w:rPr>
          <w:t>https://doi.org/10.1126/science.adu5584</w:t>
        </w:r>
      </w:hyperlink>
    </w:p>
    <w:p>
      <w:pPr>
        <w:pStyle w:val="Heading1"/>
        <w:pageBreakBefore/>
        <w:jc w:val="left"/>
      </w:pPr>
      <w:r>
        <w:t>Apêndice A Regras da oficina e cálculo do jogo</w:t>
      </w:r>
    </w:p>
    <w:p>
      <w:pPr>
        <w:jc w:val="both"/>
      </w:pPr>
      <w:r>
        <w:t>Finalidade: mostrar como uma regra altera oportunidades e pode reforçar vantagens acumuladas. Cada mesa de quatro a seis pessoas simula três negócios, conta fichas e registra justificativas. A tarefa coletiva é explicar o mecanismo e seus limites.</w:t>
      </w:r>
    </w:p>
    <w:p>
      <w:pPr>
        <w:pStyle w:val="Heading2"/>
        <w:jc w:val="left"/>
      </w:pPr>
      <w:r>
        <w:t>Preparação e condições mantidas</w:t>
      </w:r>
    </w:p>
    <w:p>
      <w:pPr>
        <w:jc w:val="both"/>
      </w:pPr>
      <w:r>
        <w:t>Entregar 36 fichas de atenção e três cartões: A, negócio novo, peso de histórico 1; B, histórico intermediário, peso 2; C, histórico extenso, peso 3. Os pesos são fictícios. Manter iguais qualidade, pertinência da oferta, orçamento e capacidade de atendimento. Os cartões não representam grupos sociais nem classes de porte.</w:t>
      </w:r>
    </w:p>
    <w:p>
      <w:pPr>
        <w:pStyle w:val="Heading2"/>
        <w:jc w:val="left"/>
      </w:pPr>
      <w:r>
        <w:t>Rodada 1 Distribuição proporcional ao histórico</w:t>
      </w:r>
    </w:p>
    <w:p>
      <w:pPr>
        <w:jc w:val="both"/>
      </w:pPr>
      <w:r>
        <w:t>Somar os pesos: 1 + 2 + 3 = 6. Distribuir proporcionalmente: A recebe 36 × 1/6 = 6 fichas; B, 36 × 2/6 = 12; C, 36 × 3/6 = 18. Registrar os resultados e perguntar se a regra mede qualidade atual ou recompensa histórico.</w:t>
      </w:r>
    </w:p>
    <w:p>
      <w:pPr>
        <w:pStyle w:val="Heading2"/>
        <w:jc w:val="left"/>
      </w:pPr>
      <w:r>
        <w:t>Rodada 2 Reserva para descoberta</w:t>
      </w:r>
    </w:p>
    <w:p>
      <w:pPr>
        <w:jc w:val="both"/>
      </w:pPr>
      <w:r>
        <w:t>Recolher as fichas, mantendo os atributos. Alterar somente a distribuição: reservar 18 fichas para descoberta, seis por negócio. As outras 18 seguem os mesmos pesos, gerando três, seis e nove fichas adicionais. Os totais são nove, 12 e 15; a atenção disponível permanece igual a 36.</w:t>
      </w:r>
    </w:p>
    <w:tbl>
      <w:tblPr>
        <w:tblW w:type="auto" w:w="0"/>
        <w:jc w:val="center"/>
        <w:tblLayout w:type="fixed"/>
        <w:tblLook w:firstColumn="1" w:firstRow="1" w:lastColumn="0" w:lastRow="0" w:noHBand="0" w:noVBand="1" w:val="04A0"/>
      </w:tblPr>
      <w:tblGrid>
        <w:gridCol w:w="2736"/>
        <w:gridCol w:w="936"/>
        <w:gridCol w:w="1944"/>
        <w:gridCol w:w="1944"/>
        <w:gridCol w:w="2016"/>
      </w:tblGrid>
      <w:tr>
        <w:trPr>
          <w:cantSplit/>
          <w:tblHeader/>
        </w:trPr>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Negócio</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Peso</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Rodada 1</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Rodada 2</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Variação</w:t>
            </w:r>
          </w:p>
        </w:tc>
      </w:tr>
      <w:tr>
        <w:trPr>
          <w:cantSplit/>
        </w:trPr>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 Novo</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1</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6 fichas</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9 fichas</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+3</w:t>
            </w:r>
          </w:p>
        </w:tc>
      </w:tr>
      <w:tr>
        <w:trPr>
          <w:cantSplit/>
        </w:trPr>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B Intermediário</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2</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12 fichas</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12 fichas</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0</w:t>
            </w:r>
          </w:p>
        </w:tc>
      </w:tr>
      <w:tr>
        <w:trPr>
          <w:cantSplit/>
        </w:trPr>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 Histórico extenso</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3</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18 fichas</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15 fichas</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−3</w:t>
            </w:r>
          </w:p>
        </w:tc>
      </w:tr>
      <w:tr>
        <w:trPr>
          <w:cantSplit/>
        </w:trPr>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Total</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6</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36 fichas</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36 fichas</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0</w:t>
            </w:r>
          </w:p>
        </w:tc>
      </w:tr>
    </w:tbl>
    <w:p>
      <w:pPr>
        <w:spacing w:after="0"/>
      </w:pPr>
    </w:p>
    <w:p>
      <w:pPr>
        <w:pStyle w:val="Caption"/>
      </w:pPr>
      <w:r>
        <w:t>Quadro A1. Simulação autoral. Valores definidos pelas regras do jogo; não são dados de plataforma, taxas de mercado ou estimativa de impacto.</w:t>
      </w:r>
    </w:p>
    <w:p>
      <w:pPr>
        <w:pStyle w:val="Heading2"/>
        <w:jc w:val="left"/>
      </w:pPr>
      <w:r>
        <w:t>Discussão e caso de contestação</w:t>
      </w:r>
    </w:p>
    <w:p>
      <w:pPr>
        <w:jc w:val="both"/>
      </w:pPr>
      <w:r>
        <w:t>A participação de A sobe de 16,7% para 25,0%; a de C cai de 50,0% para 41,7%. É uma consequência aritmética, não prova de que igualdade maximize vendas. Ao igualar qualidade e relevância, o jogo não avalia o custo de recomendar conteúdo pouco pertinente. Discutir que evidências seriam necessárias no mundo real.</w:t>
      </w:r>
    </w:p>
    <w:p>
      <w:pPr>
        <w:jc w:val="both"/>
      </w:pPr>
      <w:r>
        <w:t>Após fechar os resultados, apresentar um caso separado: B recebe aviso genérico de restrição. O grupo registra conteúdo, data e aviso, solicita a regra aplicável e prepara justificativa com evidência. O caso não altera as fichas, preservando a comparação entre rodadas. Encerrar com uma ação de atendimento que o grupo consiga realizar e revisar.</w:t>
      </w:r>
    </w:p>
    <w:p>
      <w:pPr>
        <w:pStyle w:val="Heading1"/>
        <w:pageBreakBefore/>
        <w:jc w:val="left"/>
      </w:pPr>
      <w:r>
        <w:t>Apêndice B Instrumento de aprendizagem e aplicação</w:t>
      </w:r>
    </w:p>
    <w:p>
      <w:pPr>
        <w:jc w:val="both"/>
      </w:pPr>
      <w:r>
        <w:t>Aplicar individualmente os casos de entrada e os casos equivalentes de saída. Utilizar um código aleatório que permita parear respostas, sem avaliação nominal de desempenho profissional. A facilitação lê os enunciados e aceita resposta oral ou escrita. Esta é uma rubrica pedagógica proposta, sem validação psicométrica.</w:t>
      </w:r>
    </w:p>
    <w:tbl>
      <w:tblPr>
        <w:tblW w:type="auto" w:w="0"/>
        <w:jc w:val="center"/>
        <w:tblLayout w:type="fixed"/>
        <w:tblLook w:firstColumn="1" w:firstRow="1" w:lastColumn="0" w:lastRow="0" w:noHBand="0" w:noVBand="1" w:val="04A0"/>
      </w:tblPr>
      <w:tblGrid>
        <w:gridCol w:w="1728"/>
        <w:gridCol w:w="4392"/>
        <w:gridCol w:w="3456"/>
      </w:tblGrid>
      <w:tr>
        <w:trPr>
          <w:cantSplit/>
          <w:tblHeader/>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Competência</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Caso de entrada e caso de saída</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Elementos para 2 pontos</w:t>
            </w:r>
          </w:p>
        </w:tc>
      </w:tr>
      <w:tr>
        <w:trPr>
          <w:cantSplit/>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1 Evidência de restrição</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Entrada: o alcance caiu 30%, sem aviso. É possível afirmar censura?</w:t>
              <w:br/>
              <w:t>Saída: as visualizações caíram 40%, sem mudança documentada. Qual o diagnóstico?</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Causa indeterminada; solicitar período comparável, status da conta e registros, examinando explicações alternativas.</w:t>
            </w:r>
          </w:p>
        </w:tc>
      </w:tr>
      <w:tr>
        <w:trPr>
          <w:cantSplit/>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2 Mecanismo de viés</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Entrada: uma regra distribui pela quantidade de interações anteriores. Quem pode ficar de fora?</w:t>
              <w:br/>
              <w:t>Saída: uma classificação prioriza contas com mais vendas passadas. Que risco investigar?</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Identificar desvantagem possível para novos participantes e retroalimentação; propor comparação com relevância ou qualidade.</w:t>
            </w:r>
          </w:p>
        </w:tc>
      </w:tr>
      <w:tr>
        <w:trPr>
          <w:cantSplit/>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3 Resultado econômico</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Entrada: receita incremental hipotética de R$ 2.000, margem de 30%, custo adicional de R$ 900. Qual o resultado?</w:t>
              <w:br/>
              <w:t>Saída: receita de R$ 3.000, margem de 20%, custo de R$ 800.</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Calcular −R$ 300 na entrada e −R$ 200 na saída; explicar que receita e engajamento não equivalem a contribuição positiva.</w:t>
            </w:r>
          </w:p>
        </w:tc>
      </w:tr>
      <w:tr>
        <w:trPr>
          <w:cantSplit/>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4 Recurso e governança</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Entrada: anúncio rejeitado com aviso genérico. Como agir?</w:t>
              <w:br/>
              <w:t>Saída: conteúdo retirado sem indicar claramente a regra. O que registrar?</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Preservar conteúdo, data e aviso; pedir motivo e utilizar recurso pertinente, sem prometer reversão nem contornar a restrição.</w:t>
            </w:r>
          </w:p>
        </w:tc>
      </w:tr>
      <w:tr>
        <w:trPr>
          <w:cantSplit/>
        </w:trP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5 Teste e mensuração</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Entrada: vendas aumentam depois de uma publicação. Ela causou o aumento?</w:t>
              <w:br/>
              <w:t>Saída: pedidos crescem após assinar um plano. Isso prova retorno do plano?</w:t>
            </w:r>
          </w:p>
        </w:tc>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Não concluir causalidade; examinar sazonalidade e ações simultâneas, propondo comparação adequada quando viável.</w:t>
            </w:r>
          </w:p>
        </w:tc>
      </w:tr>
    </w:tbl>
    <w:p>
      <w:pPr>
        <w:spacing w:after="0"/>
      </w:pPr>
    </w:p>
    <w:p>
      <w:pPr>
        <w:pStyle w:val="Caption"/>
      </w:pPr>
      <w:r>
        <w:t>Quadro B1. Casos e critérios autorais. 0 ponto: resposta ausente ou incompatível; 1 ponto: conclusão correta sem justificativa ou verificação necessária; 2 pontos: elementos indicados na última coluna. Total de 0 a 10.</w:t>
      </w:r>
    </w:p>
    <w:p>
      <w:pPr>
        <w:pStyle w:val="Heading2"/>
        <w:jc w:val="left"/>
      </w:pPr>
      <w:r>
        <w:t>Como registrar o resultado</w:t>
      </w:r>
    </w:p>
    <w:p>
      <w:pPr>
        <w:jc w:val="both"/>
      </w:pPr>
      <w:r>
        <w:t>Calcular o ganho individual somente entre respostas pareadas: escore de saída menos escore de entrada. Informar quantos participaram, responderam à entrada, responderam à saída e puderam ser pareados. O domínio final corresponde ao número com oito ou mais pontos dividido pelo total de respondentes finais. A proporção de planos completos usa todos os grupos como denominador. Uma amostra de correções pode ser revisada por dois avaliadores para resolver divergências de interpretação.</w:t>
      </w:r>
    </w:p>
    <w:p>
      <w:pPr>
        <w:pStyle w:val="Heading2"/>
        <w:jc w:val="left"/>
      </w:pPr>
      <w:r>
        <w:t>Plano de ação e acompanhamento</w:t>
      </w:r>
    </w:p>
    <w:p>
      <w:pPr>
        <w:jc w:val="both"/>
      </w:pPr>
      <w:r>
        <w:t>Um plano completo define o que mudar, por quê, onde, quando, quem fará, como executar e quanto poderá custar, acrescentando indicador, fonte do registro e critério de interrupção. Em 30 dias, perguntar: a ação foi realizada? Qual evidência pode ser apresentada sem dados de clientes? Que barreira permaneceu? O que será mantido ou corrigido? Registrar aplicação entre todos os participantes e entre respondentes, sem excluir desistentes silenciosamente.</w:t>
      </w:r>
    </w:p>
    <w:p>
      <w:pPr>
        <w:pStyle w:val="Heading1"/>
        <w:pageBreakBefore/>
        <w:jc w:val="left"/>
      </w:pPr>
      <w:r>
        <w:t>Apêndice C Registro de diagnóstico e indicadores do piloto</w:t>
      </w:r>
    </w:p>
    <w:p>
      <w:pPr>
        <w:jc w:val="both"/>
      </w:pPr>
      <w:r>
        <w:t>Cada registro deve ter código do negócio, período, objetivo e responsável. O código reduz exposição no relatório; a chave de identificação, quando necessária ao atendimento, permanece separada e com acesso restrito. A coleta deve ser proporcional à finalidade e seguir as regras aplicáveis. Não registrar senha nem inferir características sensíveis por nome, imagem ou localização.</w:t>
      </w:r>
    </w:p>
    <w:tbl>
      <w:tblPr>
        <w:tblW w:type="auto" w:w="0"/>
        <w:jc w:val="center"/>
        <w:tblLayout w:type="fixed"/>
        <w:tblLook w:firstColumn="1" w:firstRow="1" w:lastColumn="0" w:lastRow="0" w:noHBand="0" w:noVBand="1" w:val="04A0"/>
      </w:tblPr>
      <w:tblGrid>
        <w:gridCol w:w="1872"/>
        <w:gridCol w:w="4320"/>
        <w:gridCol w:w="3384"/>
      </w:tblGrid>
      <w:tr>
        <w:trPr>
          <w:cantSplit/>
          <w:tblHeader/>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Indicador</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Definição e denominador</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233946"/>
          </w:tcPr>
          <w:p>
            <w:pPr>
              <w:spacing w:after="0" w:line="257" w:lineRule="auto"/>
              <w:ind w:firstLine="0"/>
              <w:jc w:val="left"/>
            </w:pPr>
            <w:r>
              <w:rPr>
                <w:b/>
                <w:color w:val="FFFFFF"/>
                <w:sz w:val="19"/>
              </w:rPr>
              <w:t>Limite de interpretação</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Entrega por segmento</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Impressões no segmento ÷ impressões totais da campanha no mesmo período. Comparar à participação no público elegível somente se conhecida.</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Não equivale a pessoas únicas ou composição populacional; diferenças não demonstram discriminação por si só.</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Contatos qualificados</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Número de contatos que cumprem um critério comercial definido antes do teste, por canal e período.</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Critério não pode mudar para melhorar o resultado. Informar também gasto e horas.</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Conversão de contatos</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Contatos qualificados com ao menos um pedido confirmado ÷ contatos qualificados da mesma coorte, com janela definida.</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Pedidos podem ocorrer mais tarde. Duplicidades e contatos sem origem conhecida devem ser registrados.</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Contribuição adicional</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Receita incremental estimada × margem antes da ação − custos adicionais ainda não deduzidos na margem.</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Exige estimativa do contrafactual; sem ela, relatar contribuição observada e limites de atribuição.</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Contestação</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Recursos revertidos ÷ recursos encerrados; informar também recursos abertos, prazo mediano e casos pendentes.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Amostra de quem recorre não mede erro em todas as decisões. Casos abertos não entram como sucesso nem fracasso encerrado.</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Dependência de canal</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Receita atribuída ao maior canal ÷ receita total no período; informar parcela sem origem conhecida.</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3F5F7"/>
          </w:tcPr>
          <w:p>
            <w:pPr>
              <w:spacing w:after="0" w:line="257" w:lineRule="auto"/>
              <w:ind w:firstLine="0"/>
              <w:jc w:val="left"/>
            </w:pPr>
            <w:r>
              <w:rPr>
                <w:b w:val="0"/>
                <w:color w:val="172630"/>
                <w:sz w:val="19"/>
              </w:rPr>
              <w:t>Convenção de atribuição e pedidos multicanal alteram a medida; alta concentração é sinal a investigar.</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Aplicação da formação</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Participantes com ação documentada ÷ participantes totais; apresentar também proporção entre respondentes.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100" w:type="dxa"/>
              <w:bottom w:w="90" w:type="dxa"/>
              <w:right w:w="100" w:type="dxa"/>
            </w:tcMar>
            <w:shd w:fill="FFFFFF"/>
          </w:tcPr>
          <w:p>
            <w:pPr>
              <w:spacing w:after="0" w:line="257" w:lineRule="auto"/>
              <w:ind w:firstLine="0"/>
              <w:jc w:val="left"/>
            </w:pPr>
            <w:r>
              <w:rPr>
                <w:b w:val="0"/>
                <w:color w:val="172630"/>
                <w:sz w:val="19"/>
              </w:rPr>
              <w:t>Não resposta não comprova ausência de aplicação. Informar perdas e motivos conhecidos.</w:t>
            </w:r>
          </w:p>
        </w:tc>
      </w:tr>
    </w:tbl>
    <w:p>
      <w:pPr>
        <w:spacing w:after="0"/>
      </w:pPr>
    </w:p>
    <w:p>
      <w:pPr>
        <w:pStyle w:val="Caption"/>
      </w:pPr>
      <w:r>
        <w:t>Quadro C1. Indicadores propostos, a selecionar conforme o objetivo. Quando o denominador for zero, registrar “não calculável”, sem substituir por zero por cento. Manter contagens junto com percentuais.</w:t>
      </w:r>
    </w:p>
    <w:p>
      <w:pPr>
        <w:pStyle w:val="Heading2"/>
        <w:jc w:val="left"/>
      </w:pPr>
      <w:r>
        <w:t>Decisão e revisão</w:t>
      </w:r>
    </w:p>
    <w:p>
      <w:pPr>
        <w:jc w:val="both"/>
      </w:pPr>
      <w:r>
        <w:t>Antes do teste, registrar a hipótese, uma medida principal, melhoria mínima relevante, custo máximo, duração e motivo de interrupção. Depois, escolher entre manter, ajustar, interromper ou ampliar a ação e justificar a decisão. Comparações entre grupos precisam considerar setor, maturidade, recursos, variação aleatória e seleção dos participantes. Uma diferença observada abre a investigação; sua causa não deve ser preenchida por suposição.</w:t>
      </w:r>
    </w:p>
    <w:p>
      <w:pPr>
        <w:jc w:val="both"/>
      </w:pPr>
      <w:r>
        <w:t>O relatório do piloto consolida participação, aprendizagem, implementação, custos e incidentes, incluindo resultados nulos e negativos. Publicar apenas casos exitosos produz viés de sobrevivência. A avaliação deve informar quem não conseguiu participar ou continuar e quais mudanças de acesso foram efetivamente realizadas. Esses resultados orientam a continuidade da proposta, sem prometer crescimento universal de seguidores, vendas ou crédito.</w:t>
      </w:r>
    </w:p>
    <w:sectPr w:rsidR="00FC693F" w:rsidRPr="0006063C" w:rsidSect="00034616">
      <w:headerReference w:type="default" r:id="rId9"/>
      <w:footerReference w:type="default" r:id="rId10"/>
      <w:pgSz w:w="11906" w:h="16838"/>
      <w:pgMar w:top="1077" w:right="1134" w:bottom="1020" w:left="113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right"/>
    </w:pPr>
    <w:r>
      <w:rPr>
        <w:sz w:val="16"/>
      </w:rPr>
      <w:t xml:space="preserve">Artigo de revisão  •  14 outubro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ind w:firstLine="0"/>
      <w:jc w:val="left"/>
    </w:pPr>
    <w:r>
      <w:rPr>
        <w:color w:val="000000"/>
        <w:sz w:val="16"/>
      </w:rPr>
      <w:t>ANA MARIA CARVALHEIRO  |  VISIBILIDADE E VIESES NAS PLATAFORMAS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ind w:firstLine="340"/>
      <w:jc w:val="both"/>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ind w:firstLine="0"/>
      <w:jc w:val="left"/>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ind w:firstLine="0"/>
      <w:jc w:val="left"/>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60"/>
      <w:ind w:firstLine="0"/>
      <w:jc w:val="left"/>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ind w:firstLine="0"/>
      <w:contextualSpacing/>
      <w:jc w:val="left"/>
    </w:pPr>
    <w:rPr>
      <w:rFonts w:asciiTheme="majorHAnsi" w:eastAsiaTheme="majorEastAsia" w:hAnsiTheme="majorHAnsi" w:cstheme="majorBidi" w:ascii="Calibri" w:hAnsi="Calibr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ind w:firstLine="0"/>
      <w:jc w:val="left"/>
    </w:pPr>
    <w:rPr>
      <w:rFonts w:asciiTheme="majorHAnsi" w:eastAsiaTheme="majorEastAsia" w:hAnsiTheme="majorHAnsi" w:cstheme="majorBidi" w:ascii="Calibri" w:hAnsi="Calibri"/>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ind w:firstLine="0"/>
      <w:jc w:val="left"/>
    </w:pPr>
    <w:rPr>
      <w:rFonts w:ascii="Calibri" w:hAnsi="Calibri"/>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cetic.br/media/analises/TIC-Empresas-2025-lancamento.pdf" TargetMode="External"/><Relationship Id="rId16" Type="http://schemas.openxmlformats.org/officeDocument/2006/relationships/hyperlink" Target="https://agenciasebrae.com.br/dados/whatsapp-se-consolida-nas-vendas-on-line-enquanto-facebook-e-lojas-proprias-perdem-folego/" TargetMode="External"/><Relationship Id="rId17" Type="http://schemas.openxmlformats.org/officeDocument/2006/relationships/hyperlink" Target="https://ec.europa.eu/eurostat/statistics-explained/index.php?title=Social_media_-_statistics_on_the_use_by_enterprises" TargetMode="External"/><Relationship Id="rId18" Type="http://schemas.openxmlformats.org/officeDocument/2006/relationships/hyperlink" Target="https://www.oecd.org/content/dam/oecd/en/networks/oecd-digital-for-smes-global-initiative/D4SME-2025-Policy-Highlights.pdf" TargetMode="External"/><Relationship Id="rId19" Type="http://schemas.openxmlformats.org/officeDocument/2006/relationships/hyperlink" Target="https://doi.org/10.6028/NIST.SP.1270" TargetMode="External"/><Relationship Id="rId20" Type="http://schemas.openxmlformats.org/officeDocument/2006/relationships/hyperlink" Target="https://doi.org/10.1145/3359301" TargetMode="External"/><Relationship Id="rId21" Type="http://schemas.openxmlformats.org/officeDocument/2006/relationships/hyperlink" Target="https://doi.org/10.1287/mnsc.2018.3093" TargetMode="External"/><Relationship Id="rId22" Type="http://schemas.openxmlformats.org/officeDocument/2006/relationships/hyperlink" Target="https://doi.org/10.1287/mksc.2018.1135" TargetMode="External"/><Relationship Id="rId23" Type="http://schemas.openxmlformats.org/officeDocument/2006/relationships/hyperlink" Target="https://doi.org/10.1287/mksc.2023.1436" TargetMode="External"/><Relationship Id="rId24" Type="http://schemas.openxmlformats.org/officeDocument/2006/relationships/hyperlink" Target="https://about.fb.com/br/news/2024/04/ajudando-o-criador-de-conteudo-a-encontrar-novos-publicos/" TargetMode="External"/><Relationship Id="rId25" Type="http://schemas.openxmlformats.org/officeDocument/2006/relationships/hyperlink" Target="https://about.fb.com/br/news/2026/03/recompensando-criadores-originais-no-facebook/" TargetMode="External"/><Relationship Id="rId26" Type="http://schemas.openxmlformats.org/officeDocument/2006/relationships/hyperlink" Target="https://www.facebook.com/help/565322618581808" TargetMode="External"/><Relationship Id="rId27" Type="http://schemas.openxmlformats.org/officeDocument/2006/relationships/hyperlink" Target="https://www.linkedin.com/help/linkedin/answer/a523360" TargetMode="External"/><Relationship Id="rId28" Type="http://schemas.openxmlformats.org/officeDocument/2006/relationships/hyperlink" Target="https://www.linkedin.com/help/linkedin/answer/a6284686" TargetMode="External"/><Relationship Id="rId29" Type="http://schemas.openxmlformats.org/officeDocument/2006/relationships/hyperlink" Target="https://support.google.com/youtube/answer/12199105?hl=en" TargetMode="External"/><Relationship Id="rId30" Type="http://schemas.openxmlformats.org/officeDocument/2006/relationships/hyperlink" Target="https://support.tiktok.com/pt_BR/using-tiktok/exploring-videos/how-tiktok-recommends-content" TargetMode="External"/><Relationship Id="rId31" Type="http://schemas.openxmlformats.org/officeDocument/2006/relationships/hyperlink" Target="https://support.tiktok.com/en/using-tiktok/growing-your-audience/how-to-tell-if-an-account-is-verified-on-tiktok" TargetMode="External"/><Relationship Id="rId32" Type="http://schemas.openxmlformats.org/officeDocument/2006/relationships/hyperlink" Target="https://help.x.com/pt/using-x/x-premium" TargetMode="External"/><Relationship Id="rId33" Type="http://schemas.openxmlformats.org/officeDocument/2006/relationships/hyperlink" Target="https://www.planalto.gov.br/ccivil_03/_ato2015-2018/2018/lei/l13709compilado.htm" TargetMode="External"/><Relationship Id="rId34" Type="http://schemas.openxmlformats.org/officeDocument/2006/relationships/hyperlink" Target="https://eur-lex.europa.eu/eli/reg/2022/2065/oj" TargetMode="External"/><Relationship Id="rId35" Type="http://schemas.openxmlformats.org/officeDocument/2006/relationships/hyperlink" Target="https://observatorio.sebrae.com.br/about" TargetMode="External"/><Relationship Id="rId36" Type="http://schemas.openxmlformats.org/officeDocument/2006/relationships/hyperlink" Target="https://www.facebook.com/business/help/248456111431653" TargetMode="External"/><Relationship Id="rId37" Type="http://schemas.openxmlformats.org/officeDocument/2006/relationships/hyperlink" Target="https://www.sebraepr.com.br/wp-content/uploads/2024/07/Infografico-Ferramentas-de-Planejamento.pdf" TargetMode="External"/><Relationship Id="rId38" Type="http://schemas.openxmlformats.org/officeDocument/2006/relationships/hyperlink" Target="https://loja.sebrae.com.br/planejamento-para-fazer-acontecer-ferramentas-parte-i-1-372000027104" TargetMode="External"/><Relationship Id="rId39" Type="http://schemas.openxmlformats.org/officeDocument/2006/relationships/hyperlink" Target="https://digital-strategy.ec.europa.eu/en/factpages/user-rights-under-digital-services-act" TargetMode="External"/><Relationship Id="rId40" Type="http://schemas.openxmlformats.org/officeDocument/2006/relationships/hyperlink" Target="https://doi.org/10.1038/s41586-026-10098-2" TargetMode="External"/><Relationship Id="rId41" Type="http://schemas.openxmlformats.org/officeDocument/2006/relationships/hyperlink" Target="https://doi.org/10.1126/science.adu5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Visibilidade e exclusão de empresas nas plataformas digitais</dc:title>
  <dc:subject>Vieses, promoção comercial, economia política e aplicações ao Sebrae</dc:subject>
  <dc:creator>Ana Maria Carvalheiro</dc:creator>
  <cp:keywords>vieses algorítmicos, pequenos negócios, plataformas digitais, Sebrae, publicidade digital</cp:keywords>
  <dc:description>generated by python-docx</dc:description>
  <cp:lastModifiedBy/>
  <cp:revision>1</cp:revision>
  <dcterms:created xsi:type="dcterms:W3CDTF">2013-12-23T23:15:00Z</dcterms:created>
  <dcterms:modified xsi:type="dcterms:W3CDTF">2013-12-23T23:15:00Z</dcterms:modified>
  <cp:category/>
</cp:coreProperties>
</file>