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B318FF">
      <w:pPr>
        <w:spacing w:after="600"/>
        <w:jc w:val="center"/>
      </w:pPr>
      <w:r>
        <w:rPr>
          <w:rFonts w:ascii="Times New Roman" w:hAnsi="Times New Roman"/>
          <w:b/>
          <w:sz w:val="28"/>
        </w:rPr>
        <w:t>ANA MARIA CARVALHEIRO</w:t>
      </w:r>
    </w:p>
    <w:p w14:paraId="408CC8E2"/>
    <w:p w14:paraId="110B1ED0"/>
    <w:p w14:paraId="79E40C47"/>
    <w:p w14:paraId="792F611D"/>
    <w:p w14:paraId="4196FF07">
      <w:pPr>
        <w:jc w:val="center"/>
      </w:pPr>
      <w:r>
        <w:rPr>
          <w:rFonts w:ascii="Times New Roman" w:hAnsi="Times New Roman"/>
          <w:b/>
          <w:sz w:val="32"/>
        </w:rPr>
        <w:t xml:space="preserve">TRAMA DIGITAL E A ECONOMIA DA CRIAÇÃO DE CONTEÚDO</w:t>
      </w:r>
    </w:p>
    <w:p w14:paraId="10CE3657">
      <w:pPr>
        <w:jc w:val="center"/>
      </w:pPr>
      <w:r>
        <w:rPr>
          <w:rFonts w:ascii="Times New Roman" w:hAnsi="Times New Roman"/>
          <w:sz w:val="26"/>
        </w:rPr>
        <w:t>Agentes, funções, formatos, relações econômicas, intermediação e modelos de monetização</w:t>
      </w:r>
    </w:p>
    <w:p w14:paraId="2DFD363F"/>
    <w:p w14:paraId="4FCC0BE5"/>
    <w:p w14:paraId="0ABE0133"/>
    <w:p w14:paraId="1B0F3757"/>
    <w:p w14:paraId="48400CFC">
      <w:pPr>
        <w:jc w:val="center"/>
      </w:pPr>
      <w:r>
        <w:rPr>
          <w:rFonts w:ascii="Times New Roman" w:hAnsi="Times New Roman"/>
          <w:sz w:val="22"/>
        </w:rPr>
        <w:t>Pesquisa aplicada sobre criação de conteúdo e trabalho digital</w:t>
        <w:br/>
        <w:t>Trama Digital</w:t>
      </w:r>
    </w:p>
    <w:p w14:paraId="260064DD"/>
    <w:p w14:paraId="7698C7AF"/>
    <w:p w14:paraId="242B4734"/>
    <w:p w14:paraId="3133D5F2"/>
    <w:p w14:paraId="112B82D8"/>
    <w:p w14:paraId="5B79C2F8"/>
    <w:p w14:paraId="132B57B8">
      <w:pPr>
        <w:jc w:val="center"/>
      </w:pPr>
      <w:r>
        <w:rPr>
          <w:rFonts w:ascii="Times New Roman" w:hAnsi="Times New Roman"/>
          <w:sz w:val="24"/>
        </w:rPr>
        <w:t>Brasília/DF</w:t>
      </w:r>
      <w:r>
        <w:rPr>
          <w:rFonts w:ascii="Times New Roman" w:hAnsi="Times New Roman"/>
          <w:sz w:val="24"/>
        </w:rPr>
        <w:br w:type="textWrapping"/>
      </w:r>
      <w:r>
        <w:rPr>
          <w:rFonts w:ascii="Times New Roman" w:hAnsi="Times New Roman"/>
          <w:sz w:val="24"/>
        </w:rPr>
        <w:t>2026</w:t>
      </w:r>
    </w:p>
    <w:p w14:paraId="58E22C84">
      <w:r>
        <w:br w:type="page"/>
      </w:r>
    </w:p>
    <w:p w14:paraId="074F0B35">
      <w:pPr>
        <w:jc w:val="center"/>
      </w:pPr>
      <w:r>
        <w:rPr>
          <w:rFonts w:ascii="Times New Roman" w:hAnsi="Times New Roman"/>
          <w:b/>
          <w:sz w:val="24"/>
        </w:rPr>
        <w:t>ANA MARIA CARVALHEIRO</w:t>
      </w:r>
    </w:p>
    <w:p w14:paraId="6C576838"/>
    <w:p w14:paraId="5B665CFA"/>
    <w:p w14:paraId="2E8B80FA"/>
    <w:p w14:paraId="0844D5EB">
      <w:pPr>
        <w:jc w:val="center"/>
      </w:pPr>
      <w:r>
        <w:rPr>
          <w:rFonts w:ascii="Times New Roman" w:hAnsi="Times New Roman"/>
          <w:b/>
          <w:sz w:val="28"/>
        </w:rPr>
        <w:t xml:space="preserve">TRAMA DIGITAL E A ECONOMIA DA CRIAÇÃO DE CONTEÚDO</w:t>
      </w:r>
    </w:p>
    <w:p w14:paraId="34003364">
      <w:pPr>
        <w:jc w:val="center"/>
      </w:pPr>
      <w:r>
        <w:rPr>
          <w:rFonts w:ascii="Times New Roman" w:hAnsi="Times New Roman"/>
          <w:sz w:val="24"/>
        </w:rPr>
        <w:t>Agentes, funções, formatos, relações econômicas, intermediação e modelos de monetização</w:t>
      </w:r>
    </w:p>
    <w:p w14:paraId="119660CC"/>
    <w:p w14:paraId="5712E2E4"/>
    <w:p w14:paraId="5CDE1356"/>
    <w:p w14:paraId="78FC8BFD">
      <w:pPr>
        <w:ind w:left="4252"/>
        <w:jc w:val="both"/>
      </w:pPr>
      <w:r>
        <w:rPr>
          <w:rFonts w:ascii="Times New Roman" w:hAnsi="Times New Roman"/>
          <w:sz w:val="22"/>
        </w:rPr>
        <w:t xml:space="preserve">Artigo científico de pesquisa aplicada, de natureza qualitativa, bibliográfica, documental e analítico-comparativa, elaborado para sistematizar conceitos e métodos de análise da criação de conteúdo no ambiente digital.</w:t>
      </w:r>
    </w:p>
    <w:p w14:paraId="134E2275">
      <w:pPr>
        <w:ind w:left="4252"/>
        <w:jc w:val="left"/>
      </w:pPr>
      <w:r>
        <w:rPr>
          <w:rFonts w:ascii="Times New Roman" w:hAnsi="Times New Roman"/>
          <w:sz w:val="22"/>
        </w:rPr>
        <w:t>Pesquisadora responsável: Ana Maria Carvalheiro</w:t>
        <w:br/>
        <w:t>Projeto editorial: Trama Digital</w:t>
        <w:br/>
        <w:t>Versão técnico-científica consolidada v1.0: 16/09/2026</w:t>
      </w:r>
    </w:p>
    <w:p w14:paraId="5FE44EA4"/>
    <w:p w14:paraId="0EB4759F"/>
    <w:p w14:paraId="6E775859"/>
    <w:p w14:paraId="5A50B486"/>
    <w:p w14:paraId="0DCD3B31">
      <w:pPr>
        <w:jc w:val="center"/>
      </w:pPr>
      <w:r>
        <w:rPr>
          <w:rFonts w:ascii="Times New Roman" w:hAnsi="Times New Roman"/>
          <w:sz w:val="24"/>
        </w:rPr>
        <w:t>Brasília/DF</w:t>
      </w:r>
      <w:r>
        <w:rPr>
          <w:rFonts w:ascii="Times New Roman" w:hAnsi="Times New Roman"/>
          <w:sz w:val="24"/>
        </w:rPr>
        <w:br w:type="textWrapping"/>
      </w:r>
      <w:r>
        <w:rPr>
          <w:rFonts w:ascii="Times New Roman" w:hAnsi="Times New Roman"/>
          <w:sz w:val="24"/>
        </w:rPr>
        <w:t>2026</w:t>
      </w:r>
    </w:p>
    <w:p w14:paraId="5EA53D2C">
      <w:r>
        <w:br w:type="page"/>
      </w:r>
    </w:p>
    <w:p w14:paraId="58780C80">
      <w:pPr>
        <w:pStyle w:val="2"/>
        <w:keepNext/>
        <w:keepLines/>
        <w:spacing w:before="240" w:after="120"/>
        <w:jc w:val="left"/>
      </w:pPr>
      <w:r>
        <w:rPr>
          <w:rFonts w:ascii="Times New Roman" w:hAnsi="Times New Roman"/>
          <w:b/>
          <w:sz w:val="24"/>
        </w:rPr>
        <w:t>NOTA DE ENQUADRAMENTO CIENTÍFICO E EDITORIAL</w:t>
      </w:r>
    </w:p>
    <w:p w14:paraId="446C9978">
      <w:pPr>
        <w:keepNext w:val="0"/>
        <w:spacing w:before="0" w:after="0" w:line="360" w:lineRule="auto"/>
        <w:ind w:firstLine="709"/>
        <w:jc w:val="both"/>
      </w:pPr>
      <w:r>
        <w:rPr>
          <w:rFonts w:ascii="Times New Roman" w:hAnsi="Times New Roman"/>
          <w:sz w:val="24"/>
        </w:rPr>
        <w:t xml:space="preserve">Este documento consolida, em formato de artigo científico, a arquitetura metodológica estabelecida no Caderno 01 - Plano Mestre de Pesquisa e Produção e a desenvolve em direção a uma proposta conceitual completa de Taxonomia Brasileira Multidimensional da economia da criação de conteúdo. O texto deve ser lido como pesquisa aplicada de revisão e sistematização conceitual: seu objeto não é medir causalmente comportamentos de mercado, mas construir uma linguagem analítica consistente, rastreável e útil para organizar um ecossistema caracterizado por elevada sobreposição de papéis, rápida transformação tecnológica e multiplicidade de modelos econômicos.</w:t>
      </w:r>
    </w:p>
    <w:p w14:paraId="126AB319">
      <w:pPr>
        <w:keepNext w:val="0"/>
        <w:spacing w:before="0" w:after="0" w:line="360" w:lineRule="auto"/>
        <w:ind w:firstLine="709"/>
        <w:jc w:val="both"/>
      </w:pPr>
      <w:r>
        <w:rPr>
          <w:rFonts w:ascii="Times New Roman" w:hAnsi="Times New Roman"/>
          <w:sz w:val="24"/>
        </w:rPr>
        <w:t xml:space="preserve">A opção metodológica central consiste em separar identidade do agente, função, formato, canal, relação econômica, modelo de monetização e intermediação. Essa separação permite reconhecer que uma mesma pessoa ou organização pode ocupar múltiplas posições simultâneas sem que isso represente incoerência classificatória. A contribuição proposta é, portanto, taxonômica e relacional: em vez de perguntar apenas "quem é" um participante da economia da criação de conteúdo, o modelo pergunta também "o que faz", "como e onde atua", "como se relaciona", "onde gera valor", "como monetiza" e "quem viabiliza ou intermedeia" sua atuação.</w:t>
      </w:r>
    </w:p>
    <w:p w14:paraId="19A29A15">
      <w:pPr>
        <w:keepNext w:val="0"/>
        <w:spacing w:before="0" w:after="0" w:line="360" w:lineRule="auto"/>
        <w:ind w:firstLine="709"/>
        <w:jc w:val="both"/>
      </w:pPr>
      <w:r>
        <w:rPr>
          <w:rFonts w:ascii="Times New Roman" w:hAnsi="Times New Roman"/>
          <w:sz w:val="24"/>
        </w:rPr>
        <w:t xml:space="preserve">Para fins de integridade científica, definições institucionais apresentadas como "Definição proposta" são tratadas neste documento como formulações analíticas propostas, derivadas da comparação de fontes e sujeitas a validação institucional antes da publicação definitiva. As fontes de mercado e entidades setoriais são utilizadas como evidência do vocabulário e da organização prática do setor, enquanto a literatura acadêmica fornece categorias para analisar trabalho, influência, celebridade, plataformização, visibilidade, profissionalização e poder de infraestrutura. A denominação economia da criação de conteúdo favorece a compreensão em português. Trama Digital identifica a organização editorial dos seis eixos; a mudança dos rótulos preserva as distinções analíticas e as fontes, sem representar, por si só, validação empírica. Nas referências, títulos adaptados ao português mantêm os links das obras consultadas.</w:t>
      </w:r>
    </w:p>
    <w:p w14:paraId="6BF0B499">
      <w:r>
        <w:br w:type="page"/>
      </w:r>
    </w:p>
    <w:p w14:paraId="34925D19">
      <w:pPr>
        <w:pStyle w:val="2"/>
        <w:keepNext/>
        <w:keepLines/>
        <w:spacing w:before="240" w:after="120"/>
        <w:jc w:val="left"/>
      </w:pPr>
      <w:r>
        <w:rPr>
          <w:rFonts w:ascii="Times New Roman" w:hAnsi="Times New Roman"/>
          <w:b/>
          <w:sz w:val="24"/>
        </w:rPr>
        <w:t>RESUMO</w:t>
      </w:r>
    </w:p>
    <w:p w14:paraId="599F585A">
      <w:pPr>
        <w:keepNext w:val="0"/>
        <w:spacing w:before="0" w:after="0" w:line="360" w:lineRule="auto"/>
        <w:ind w:firstLine="709"/>
        <w:jc w:val="both"/>
      </w:pPr>
      <w:r>
        <w:rPr>
          <w:rFonts w:ascii="Times New Roman" w:hAnsi="Times New Roman"/>
          <w:sz w:val="24"/>
        </w:rPr>
        <w:t xml:space="preserve">A economia da criação de conteúdo consolidou um ecossistema econômico, cultural e tecnológico no qual criação de conteúdo, influência, audiência, comunidade, plataformas, publicidade, comércio, propriedade intelectual e serviços digitais se articulam por múltiplas relações de valor. Entretanto, o vocabulário utilizado pelo mercado e pela literatura especializada permanece heterogêneo: creator, influencer, UGC creator, streamer, podcaster, key opinion leader, afiliado, embaixador de marca e creator entrepreneur frequentemente aparecem em listas planas, apesar de descreverem fenômenos de naturezas distintas. Este artigo propõe uma Taxonomia Brasileira Multidimensional da economia da criação de conteúdo, construída por pesquisa aplicada qualitativa, bibliográfica, documental e analítico-comparativa. O corpus combina referências estruturantes do Interactive Advertising Bureau (IAB), adaptação e pesquisas do IAB Brasil, mapeamentos do mercado brasileiro, estudo acadêmico nacional, orientações regulatórias e autorregulatórias, documentos internacionais e literatura de referência sobre creator culture, influencer industry, trabalho digital e plataformização. O protocolo de análise é composto por cinco operações: mapear, comparar, contextualizar, sistematizar e propor. Como resultado da análise comparada, o artigo propõe organizar o ecossistema em seis dimensões: agente; formato e canal; função; relação econômica; negócio e monetização; intermediação e infraestrutura. A análise comparada sustenta a proposição de que categorias da economia da criação de conteúdo são, em grande medida, cumulativas e relacionais. "Afiliado", por exemplo, descreve prioritariamente uma relação econômica baseada em performance, enquanto "streamer" descreve sobretudo um formato de produção; "influencer" enfatiza capacidade de influência; e "creator entrepreneur" descreve transformação de ativos criativos e relacionais em empreendimento. O modelo pretende oferecer linguagem comum e auditável para pesquisa, comunicação institucional, empresas, creators, agências, plataformas e formuladores de políticas públicas, preservando especificidades do mercado brasileiro e capacidade de atualização diante de inteligência artificial, conteúdo sintético e novos mecanismos de monetização.</w:t>
      </w:r>
    </w:p>
    <w:p w14:paraId="61A1A293">
      <w:pPr>
        <w:spacing w:after="240"/>
        <w:jc w:val="both"/>
      </w:pPr>
      <w:r>
        <w:rPr>
          <w:rFonts w:ascii="Times New Roman" w:hAnsi="Times New Roman"/>
          <w:b/>
          <w:sz w:val="24"/>
        </w:rPr>
        <w:t xml:space="preserve">Palavras-chave: </w:t>
      </w:r>
      <w:r>
        <w:rPr>
          <w:rFonts w:ascii="Times New Roman" w:hAnsi="Times New Roman"/>
          <w:sz w:val="24"/>
        </w:rPr>
        <w:t xml:space="preserve">economia da criação de conteúdo; taxonomia; criadores de conteúdo; influência digital; plataformas digitais; monetização; trabalho de plataforma.</w:t>
      </w:r>
    </w:p>
    <w:p w14:paraId="28416088">
      <w:pPr>
        <w:pStyle w:val="2"/>
        <w:keepNext/>
        <w:keepLines/>
        <w:spacing w:before="240" w:after="120"/>
        <w:jc w:val="left"/>
      </w:pPr>
      <w:r>
        <w:rPr>
          <w:rFonts w:ascii="Times New Roman" w:hAnsi="Times New Roman"/>
          <w:b/>
          <w:sz w:val="24"/>
        </w:rPr>
        <w:t>ABSTRACT</w:t>
      </w:r>
    </w:p>
    <w:p w14:paraId="1655BF53">
      <w:pPr>
        <w:keepNext w:val="0"/>
        <w:spacing w:before="0" w:after="0" w:line="360" w:lineRule="auto"/>
        <w:ind w:firstLine="709"/>
        <w:jc w:val="both"/>
      </w:pPr>
      <w:r>
        <w:rPr>
          <w:rFonts w:ascii="Times New Roman" w:hAnsi="Times New Roman"/>
          <w:sz w:val="24"/>
        </w:rPr>
        <w:t xml:space="preserve">The content creation economy has consolidated an economic, cultural, and technological ecosystem in which content creation, influence, audiences, communities, platforms, advertising, commerce, intellectual property, and digital services are connected through multiple value relationships. Yet the vocabulary used by industry actors and specialized literature remains heterogeneous: creator, influencer, UGC creator, streamer, podcaster, key opinion leader, affiliate, brand ambassador, and creator entrepreneur are frequently arranged as flat categories even though they refer to phenomena of different analytical natures. This article proposes a Brazilian Multidimensional Taxonomy of the content creation economy through qualitative, bibliographic, documentary, and comparative-analytical applied research. The corpus combines structural references from the Interactive Advertising Bureau (IAB), Brazilian adaptations and studies from IAB Brasil, mappings of the Brazilian market, national academic research, regulatory and self-regulatory guidance, international institutional documents, and key literature on creator culture, the influencer industry, digital labor, and platformization. The analytical protocol comprises five operations: mapping, comparing, contextualizing, systematizing, and proposing. The comparative analysis supports a proposed organization of the ecosystem into six dimensions: actor; format and channel; function; economic relationship; business and monetization; intermediation and infrastructure. The analysis indicates that many content creation economy categories can be treated as cumulative and relational rather than mutually exclusive. "Affiliate", for example, primarily describes a performance-based economic relationship, whereas "streamer" primarily describes a production format; "influencer" emphasizes the capacity to influence; and "creator entrepreneur" describes the transformation of creative and relational assets into an enterprise. The model aims to provide a shared and auditable language for research, institutional communication, companies, creators, agencies, platforms, and policymakers, while preserving Brazilian market specificities and remaining updateable in the face of artificial intelligence, synthetic content, and new monetization mechanisms.</w:t>
      </w:r>
    </w:p>
    <w:p w14:paraId="77231510">
      <w:pPr>
        <w:spacing w:after="240"/>
        <w:jc w:val="both"/>
      </w:pPr>
      <w:r>
        <w:rPr>
          <w:rFonts w:ascii="Times New Roman" w:hAnsi="Times New Roman"/>
          <w:b/>
          <w:sz w:val="24"/>
        </w:rPr>
        <w:t xml:space="preserve">Keywords: </w:t>
      </w:r>
      <w:r>
        <w:rPr>
          <w:rFonts w:ascii="Times New Roman" w:hAnsi="Times New Roman"/>
          <w:sz w:val="24"/>
        </w:rPr>
        <w:t xml:space="preserve">content creation economy; taxonomy; content creators; digital influence; digital platforms; monetization; platform labor.</w:t>
      </w:r>
    </w:p>
    <w:p w14:paraId="18F33E60">
      <w:r>
        <w:br w:type="page"/>
      </w:r>
    </w:p>
    <w:p w14:paraId="25714A04">
      <w:pPr>
        <w:jc w:val="center"/>
      </w:pPr>
      <w:r>
        <w:rPr>
          <w:rFonts w:ascii="Times New Roman" w:hAnsi="Times New Roman"/>
          <w:b/>
          <w:sz w:val="24"/>
        </w:rPr>
        <w:t>SUMÁRIO</w:t>
      </w:r>
    </w:p>
    <w:tbl>
      <w:tblPr>
        <w:tblStyle w:val="12"/>
        <w:tblW w:w="0" w:type="auto"/>
        <w:jc w:val="center"/>
        <w:tblLayout w:type="autofit"/>
        <w:tblCellMar>
          <w:top w:w="0" w:type="dxa"/>
          <w:left w:w="108" w:type="dxa"/>
          <w:bottom w:w="0" w:type="dxa"/>
          <w:right w:w="108" w:type="dxa"/>
        </w:tblCellMar>
      </w:tblPr>
      <w:tblGrid>
        <w:gridCol w:w="8500"/>
        <w:gridCol w:w="904"/>
      </w:tblGrid>
      <w:tr w14:paraId="6C963187">
        <w:tblPrEx>
          <w:tblCellMar>
            <w:top w:w="0" w:type="dxa"/>
            <w:left w:w="108" w:type="dxa"/>
            <w:bottom w:w="0" w:type="dxa"/>
            <w:right w:w="108" w:type="dxa"/>
          </w:tblCellMar>
        </w:tblPrEx>
        <w:trPr>
          <w:jc w:val="center"/>
          <w:tblHeader w:val="true"/>
          <w:cantSplit/>
        </w:trPr>
        <w:tc>
          <w:tcPr>
            <w:tcW w:w="8500" w:type="dxa"/>
            <w:tcBorders>
              <w:top w:val="nil"/>
              <w:left w:val="nil"/>
              <w:bottom w:val="nil"/>
              <w:right w:val="nil"/>
              <w:insideH w:val="nil"/>
              <w:insideV w:val="nil"/>
            </w:tcBorders>
            <w:tcMar>
              <w:top w:w="30" w:type="dxa"/>
              <w:left w:w="0" w:type="dxa"/>
              <w:bottom w:w="30" w:type="dxa"/>
              <w:right w:w="0" w:type="dxa"/>
            </w:tcMar>
          </w:tcPr>
          <w:p w14:paraId="7E7181E9">
            <w:pPr>
              <w:jc w:val="left"/>
            </w:pPr>
            <w:r>
              <w:rPr>
                <w:rFonts w:ascii="Times New Roman" w:hAnsi="Times New Roman"/>
                <w:sz w:val="22"/>
              </w:rPr>
              <w:t>1 INTRODUÇÃO</w:t>
            </w:r>
          </w:p>
        </w:tc>
        <w:tc>
          <w:tcPr>
            <w:tcW w:w="904" w:type="dxa"/>
            <w:tcBorders>
              <w:top w:val="nil"/>
              <w:left w:val="nil"/>
              <w:bottom w:val="nil"/>
              <w:right w:val="nil"/>
              <w:insideH w:val="nil"/>
              <w:insideV w:val="nil"/>
            </w:tcBorders>
            <w:tcMar>
              <w:top w:w="30" w:type="dxa"/>
              <w:left w:w="0" w:type="dxa"/>
              <w:bottom w:w="30" w:type="dxa"/>
              <w:right w:w="0" w:type="dxa"/>
            </w:tcMar>
          </w:tcPr>
          <w:p w14:paraId="639347B3">
            <w:pPr>
              <w:jc w:val="right"/>
            </w:pPr>
            <w:r>
              <w:rPr>
                <w:rFonts w:ascii="Times New Roman" w:hAnsi="Times New Roman"/>
                <w:sz w:val="22"/>
              </w:rPr>
              <w:t>1</w:t>
            </w:r>
          </w:p>
        </w:tc>
      </w:tr>
      <w:tr w14:paraId="0D67E2F8">
        <w:tblPrEx>
          <w:tblCellMar>
            <w:top w:w="0" w:type="dxa"/>
            <w:left w:w="108" w:type="dxa"/>
            <w:bottom w:w="0" w:type="dxa"/>
            <w:right w:w="108" w:type="dxa"/>
          </w:tblCellMar>
        </w:tblPrEx>
        <w:trPr>
          <w:jc w:val="center"/>
          <w:cantSplit/>
        </w:trPr>
        <w:tc>
          <w:tcPr>
            <w:tcW w:w="8500" w:type="dxa"/>
            <w:tcBorders>
              <w:top w:val="nil"/>
              <w:left w:val="nil"/>
              <w:bottom w:val="nil"/>
              <w:right w:val="nil"/>
              <w:insideH w:val="nil"/>
              <w:insideV w:val="nil"/>
            </w:tcBorders>
            <w:tcMar>
              <w:top w:w="30" w:type="dxa"/>
              <w:left w:w="0" w:type="dxa"/>
              <w:bottom w:w="30" w:type="dxa"/>
              <w:right w:w="0" w:type="dxa"/>
            </w:tcMar>
          </w:tcPr>
          <w:p w14:paraId="62A61982">
            <w:pPr>
              <w:jc w:val="left"/>
            </w:pPr>
            <w:r>
              <w:rPr>
                <w:rFonts w:ascii="Times New Roman" w:hAnsi="Times New Roman"/>
                <w:sz w:val="22"/>
              </w:rPr>
              <w:t>2 PROBLEMA, HIPÓTESE E OBJETIVOS</w:t>
            </w:r>
          </w:p>
        </w:tc>
        <w:tc>
          <w:tcPr>
            <w:tcW w:w="904" w:type="dxa"/>
            <w:tcBorders>
              <w:top w:val="nil"/>
              <w:left w:val="nil"/>
              <w:bottom w:val="nil"/>
              <w:right w:val="nil"/>
              <w:insideH w:val="nil"/>
              <w:insideV w:val="nil"/>
            </w:tcBorders>
            <w:tcMar>
              <w:top w:w="30" w:type="dxa"/>
              <w:left w:w="0" w:type="dxa"/>
              <w:bottom w:w="30" w:type="dxa"/>
              <w:right w:w="0" w:type="dxa"/>
            </w:tcMar>
          </w:tcPr>
          <w:p w14:paraId="3F910FF9">
            <w:pPr>
              <w:jc w:val="right"/>
            </w:pPr>
            <w:r>
              <w:rPr>
                <w:rFonts w:ascii="Times New Roman" w:hAnsi="Times New Roman"/>
                <w:sz w:val="22"/>
              </w:rPr>
              <w:t>2</w:t>
            </w:r>
          </w:p>
        </w:tc>
      </w:tr>
      <w:tr w14:paraId="446A38C3">
        <w:tblPrEx>
          <w:tblCellMar>
            <w:top w:w="0" w:type="dxa"/>
            <w:left w:w="108" w:type="dxa"/>
            <w:bottom w:w="0" w:type="dxa"/>
            <w:right w:w="108" w:type="dxa"/>
          </w:tblCellMar>
        </w:tblPrEx>
        <w:trPr>
          <w:jc w:val="center"/>
          <w:cantSplit/>
        </w:trPr>
        <w:tc>
          <w:tcPr>
            <w:tcW w:w="8500" w:type="dxa"/>
            <w:tcBorders>
              <w:top w:val="nil"/>
              <w:left w:val="nil"/>
              <w:bottom w:val="nil"/>
              <w:right w:val="nil"/>
              <w:insideH w:val="nil"/>
              <w:insideV w:val="nil"/>
            </w:tcBorders>
            <w:tcMar>
              <w:top w:w="30" w:type="dxa"/>
              <w:left w:w="0" w:type="dxa"/>
              <w:bottom w:w="30" w:type="dxa"/>
              <w:right w:w="0" w:type="dxa"/>
            </w:tcMar>
          </w:tcPr>
          <w:p w14:paraId="6EB453A7">
            <w:pPr>
              <w:jc w:val="left"/>
            </w:pPr>
            <w:r>
              <w:rPr>
                <w:rFonts w:ascii="Times New Roman" w:hAnsi="Times New Roman"/>
                <w:sz w:val="22"/>
              </w:rPr>
              <w:t>3 REFERENCIAL TEÓRICO-CONCEITUAL</w:t>
            </w:r>
          </w:p>
        </w:tc>
        <w:tc>
          <w:tcPr>
            <w:tcW w:w="904" w:type="dxa"/>
            <w:tcBorders>
              <w:top w:val="nil"/>
              <w:left w:val="nil"/>
              <w:bottom w:val="nil"/>
              <w:right w:val="nil"/>
              <w:insideH w:val="nil"/>
              <w:insideV w:val="nil"/>
            </w:tcBorders>
            <w:tcMar>
              <w:top w:w="30" w:type="dxa"/>
              <w:left w:w="0" w:type="dxa"/>
              <w:bottom w:w="30" w:type="dxa"/>
              <w:right w:w="0" w:type="dxa"/>
            </w:tcMar>
          </w:tcPr>
          <w:p w14:paraId="2F158BCE">
            <w:pPr>
              <w:jc w:val="right"/>
            </w:pPr>
            <w:r>
              <w:rPr>
                <w:rFonts w:ascii="Times New Roman" w:hAnsi="Times New Roman"/>
                <w:sz w:val="22"/>
              </w:rPr>
              <w:t>4</w:t>
            </w:r>
          </w:p>
        </w:tc>
      </w:tr>
      <w:tr w14:paraId="226A73AD">
        <w:tblPrEx>
          <w:tblCellMar>
            <w:top w:w="0" w:type="dxa"/>
            <w:left w:w="108" w:type="dxa"/>
            <w:bottom w:w="0" w:type="dxa"/>
            <w:right w:w="108" w:type="dxa"/>
          </w:tblCellMar>
        </w:tblPrEx>
        <w:trPr>
          <w:jc w:val="center"/>
          <w:cantSplit/>
        </w:trPr>
        <w:tc>
          <w:tcPr>
            <w:tcW w:w="8500" w:type="dxa"/>
            <w:tcBorders>
              <w:top w:val="nil"/>
              <w:left w:val="nil"/>
              <w:bottom w:val="nil"/>
              <w:right w:val="nil"/>
              <w:insideH w:val="nil"/>
              <w:insideV w:val="nil"/>
            </w:tcBorders>
            <w:tcMar>
              <w:top w:w="30" w:type="dxa"/>
              <w:left w:w="0" w:type="dxa"/>
              <w:bottom w:w="30" w:type="dxa"/>
              <w:right w:w="0" w:type="dxa"/>
            </w:tcMar>
          </w:tcPr>
          <w:p w14:paraId="3872F2D2">
            <w:pPr>
              <w:jc w:val="left"/>
            </w:pPr>
            <w:r>
              <w:rPr>
                <w:rFonts w:ascii="Times New Roman" w:hAnsi="Times New Roman"/>
                <w:sz w:val="22"/>
              </w:rPr>
              <w:t>4 METODOLOGIA</w:t>
            </w:r>
          </w:p>
        </w:tc>
        <w:tc>
          <w:tcPr>
            <w:tcW w:w="904" w:type="dxa"/>
            <w:tcBorders>
              <w:top w:val="nil"/>
              <w:left w:val="nil"/>
              <w:bottom w:val="nil"/>
              <w:right w:val="nil"/>
              <w:insideH w:val="nil"/>
              <w:insideV w:val="nil"/>
            </w:tcBorders>
            <w:tcMar>
              <w:top w:w="30" w:type="dxa"/>
              <w:left w:w="0" w:type="dxa"/>
              <w:bottom w:w="30" w:type="dxa"/>
              <w:right w:w="0" w:type="dxa"/>
            </w:tcMar>
          </w:tcPr>
          <w:p w14:paraId="5EF99B86">
            <w:pPr>
              <w:jc w:val="right"/>
            </w:pPr>
            <w:r>
              <w:rPr>
                <w:rFonts w:ascii="Times New Roman" w:hAnsi="Times New Roman"/>
                <w:sz w:val="22"/>
              </w:rPr>
              <w:t>8</w:t>
            </w:r>
          </w:p>
        </w:tc>
      </w:tr>
      <w:tr w14:paraId="496E2EF9">
        <w:tblPrEx>
          <w:tblCellMar>
            <w:top w:w="0" w:type="dxa"/>
            <w:left w:w="108" w:type="dxa"/>
            <w:bottom w:w="0" w:type="dxa"/>
            <w:right w:w="108" w:type="dxa"/>
          </w:tblCellMar>
        </w:tblPrEx>
        <w:trPr>
          <w:jc w:val="center"/>
          <w:cantSplit/>
        </w:trPr>
        <w:tc>
          <w:tcPr>
            <w:tcW w:w="8500" w:type="dxa"/>
            <w:tcBorders>
              <w:top w:val="nil"/>
              <w:left w:val="nil"/>
              <w:bottom w:val="nil"/>
              <w:right w:val="nil"/>
              <w:insideH w:val="nil"/>
              <w:insideV w:val="nil"/>
            </w:tcBorders>
            <w:tcMar>
              <w:top w:w="30" w:type="dxa"/>
              <w:left w:w="0" w:type="dxa"/>
              <w:bottom w:w="30" w:type="dxa"/>
              <w:right w:w="0" w:type="dxa"/>
            </w:tcMar>
          </w:tcPr>
          <w:p w14:paraId="022F4893">
            <w:pPr>
              <w:jc w:val="left"/>
            </w:pPr>
            <w:r>
              <w:rPr>
                <w:rFonts w:ascii="Times New Roman" w:hAnsi="Times New Roman"/>
                <w:sz w:val="22"/>
              </w:rPr>
              <w:t>5 RESULTADOS: TAXONOMIA BRASILEIRA MULTIDIMENSIONAL</w:t>
            </w:r>
          </w:p>
        </w:tc>
        <w:tc>
          <w:tcPr>
            <w:tcW w:w="904" w:type="dxa"/>
            <w:tcBorders>
              <w:top w:val="nil"/>
              <w:left w:val="nil"/>
              <w:bottom w:val="nil"/>
              <w:right w:val="nil"/>
              <w:insideH w:val="nil"/>
              <w:insideV w:val="nil"/>
            </w:tcBorders>
            <w:tcMar>
              <w:top w:w="30" w:type="dxa"/>
              <w:left w:w="0" w:type="dxa"/>
              <w:bottom w:w="30" w:type="dxa"/>
              <w:right w:w="0" w:type="dxa"/>
            </w:tcMar>
          </w:tcPr>
          <w:p w14:paraId="5FBBA496">
            <w:pPr>
              <w:jc w:val="right"/>
            </w:pPr>
            <w:r>
              <w:rPr>
                <w:rFonts w:ascii="Times New Roman" w:hAnsi="Times New Roman"/>
                <w:sz w:val="22"/>
              </w:rPr>
              <w:t>11</w:t>
            </w:r>
          </w:p>
        </w:tc>
      </w:tr>
      <w:tr w14:paraId="38A8FA34">
        <w:tblPrEx>
          <w:tblCellMar>
            <w:top w:w="0" w:type="dxa"/>
            <w:left w:w="108" w:type="dxa"/>
            <w:bottom w:w="0" w:type="dxa"/>
            <w:right w:w="108" w:type="dxa"/>
          </w:tblCellMar>
        </w:tblPrEx>
        <w:trPr>
          <w:jc w:val="center"/>
          <w:cantSplit/>
        </w:trPr>
        <w:tc>
          <w:tcPr>
            <w:tcW w:w="8500" w:type="dxa"/>
            <w:tcBorders>
              <w:top w:val="nil"/>
              <w:left w:val="nil"/>
              <w:bottom w:val="nil"/>
              <w:right w:val="nil"/>
              <w:insideH w:val="nil"/>
              <w:insideV w:val="nil"/>
            </w:tcBorders>
            <w:tcMar>
              <w:top w:w="30" w:type="dxa"/>
              <w:left w:w="0" w:type="dxa"/>
              <w:bottom w:w="30" w:type="dxa"/>
              <w:right w:w="0" w:type="dxa"/>
            </w:tcMar>
          </w:tcPr>
          <w:p w14:paraId="777305CB">
            <w:pPr>
              <w:jc w:val="left"/>
            </w:pPr>
            <w:r>
              <w:rPr>
                <w:rFonts w:ascii="Times New Roman" w:hAnsi="Times New Roman"/>
                <w:sz w:val="22"/>
              </w:rPr>
              <w:t>6 DISCUSSÃO</w:t>
            </w:r>
          </w:p>
        </w:tc>
        <w:tc>
          <w:tcPr>
            <w:tcW w:w="904" w:type="dxa"/>
            <w:tcBorders>
              <w:top w:val="nil"/>
              <w:left w:val="nil"/>
              <w:bottom w:val="nil"/>
              <w:right w:val="nil"/>
              <w:insideH w:val="nil"/>
              <w:insideV w:val="nil"/>
            </w:tcBorders>
            <w:tcMar>
              <w:top w:w="30" w:type="dxa"/>
              <w:left w:w="0" w:type="dxa"/>
              <w:bottom w:w="30" w:type="dxa"/>
              <w:right w:w="0" w:type="dxa"/>
            </w:tcMar>
          </w:tcPr>
          <w:p w14:paraId="50B66B2A">
            <w:pPr>
              <w:jc w:val="right"/>
            </w:pPr>
            <w:r>
              <w:rPr>
                <w:rFonts w:ascii="Times New Roman" w:hAnsi="Times New Roman"/>
                <w:sz w:val="22"/>
              </w:rPr>
              <w:t>16</w:t>
            </w:r>
          </w:p>
        </w:tc>
      </w:tr>
      <w:tr w14:paraId="40A6F39F">
        <w:tblPrEx>
          <w:tblCellMar>
            <w:top w:w="0" w:type="dxa"/>
            <w:left w:w="108" w:type="dxa"/>
            <w:bottom w:w="0" w:type="dxa"/>
            <w:right w:w="108" w:type="dxa"/>
          </w:tblCellMar>
        </w:tblPrEx>
        <w:trPr>
          <w:jc w:val="center"/>
          <w:cantSplit/>
        </w:trPr>
        <w:tc>
          <w:tcPr>
            <w:tcW w:w="8500" w:type="dxa"/>
            <w:tcBorders>
              <w:top w:val="nil"/>
              <w:left w:val="nil"/>
              <w:bottom w:val="nil"/>
              <w:right w:val="nil"/>
              <w:insideH w:val="nil"/>
              <w:insideV w:val="nil"/>
            </w:tcBorders>
            <w:tcMar>
              <w:top w:w="30" w:type="dxa"/>
              <w:left w:w="0" w:type="dxa"/>
              <w:bottom w:w="30" w:type="dxa"/>
              <w:right w:w="0" w:type="dxa"/>
            </w:tcMar>
          </w:tcPr>
          <w:p w14:paraId="73DEE602">
            <w:pPr>
              <w:jc w:val="left"/>
            </w:pPr>
            <w:r>
              <w:rPr>
                <w:rFonts w:ascii="Times New Roman" w:hAnsi="Times New Roman"/>
                <w:sz w:val="22"/>
              </w:rPr>
              <w:t>7 LIMITAÇÕES DA PESQUISA</w:t>
            </w:r>
          </w:p>
        </w:tc>
        <w:tc>
          <w:tcPr>
            <w:tcW w:w="904" w:type="dxa"/>
            <w:tcBorders>
              <w:top w:val="nil"/>
              <w:left w:val="nil"/>
              <w:bottom w:val="nil"/>
              <w:right w:val="nil"/>
              <w:insideH w:val="nil"/>
              <w:insideV w:val="nil"/>
            </w:tcBorders>
            <w:tcMar>
              <w:top w:w="30" w:type="dxa"/>
              <w:left w:w="0" w:type="dxa"/>
              <w:bottom w:w="30" w:type="dxa"/>
              <w:right w:w="0" w:type="dxa"/>
            </w:tcMar>
          </w:tcPr>
          <w:p w14:paraId="2D1C8E93">
            <w:pPr>
              <w:jc w:val="right"/>
            </w:pPr>
            <w:r>
              <w:rPr>
                <w:rFonts w:ascii="Times New Roman" w:hAnsi="Times New Roman"/>
                <w:sz w:val="22"/>
              </w:rPr>
              <w:t>19</w:t>
            </w:r>
          </w:p>
        </w:tc>
      </w:tr>
      <w:tr w14:paraId="12621499">
        <w:tblPrEx>
          <w:tblCellMar>
            <w:top w:w="0" w:type="dxa"/>
            <w:left w:w="108" w:type="dxa"/>
            <w:bottom w:w="0" w:type="dxa"/>
            <w:right w:w="108" w:type="dxa"/>
          </w:tblCellMar>
        </w:tblPrEx>
        <w:trPr>
          <w:jc w:val="center"/>
          <w:cantSplit/>
        </w:trPr>
        <w:tc>
          <w:tcPr>
            <w:tcW w:w="8500" w:type="dxa"/>
            <w:tcBorders>
              <w:top w:val="nil"/>
              <w:left w:val="nil"/>
              <w:bottom w:val="nil"/>
              <w:right w:val="nil"/>
              <w:insideH w:val="nil"/>
              <w:insideV w:val="nil"/>
            </w:tcBorders>
            <w:tcMar>
              <w:top w:w="30" w:type="dxa"/>
              <w:left w:w="0" w:type="dxa"/>
              <w:bottom w:w="30" w:type="dxa"/>
              <w:right w:w="0" w:type="dxa"/>
            </w:tcMar>
          </w:tcPr>
          <w:p w14:paraId="41B868D3">
            <w:pPr>
              <w:jc w:val="left"/>
            </w:pPr>
            <w:r>
              <w:rPr>
                <w:rFonts w:ascii="Times New Roman" w:hAnsi="Times New Roman"/>
                <w:sz w:val="22"/>
              </w:rPr>
              <w:t>8 AGENDA DE PESQUISA FUTURA</w:t>
            </w:r>
          </w:p>
        </w:tc>
        <w:tc>
          <w:tcPr>
            <w:tcW w:w="904" w:type="dxa"/>
            <w:tcBorders>
              <w:top w:val="nil"/>
              <w:left w:val="nil"/>
              <w:bottom w:val="nil"/>
              <w:right w:val="nil"/>
              <w:insideH w:val="nil"/>
              <w:insideV w:val="nil"/>
            </w:tcBorders>
            <w:tcMar>
              <w:top w:w="30" w:type="dxa"/>
              <w:left w:w="0" w:type="dxa"/>
              <w:bottom w:w="30" w:type="dxa"/>
              <w:right w:w="0" w:type="dxa"/>
            </w:tcMar>
          </w:tcPr>
          <w:p w14:paraId="2DC29A64">
            <w:pPr>
              <w:jc w:val="right"/>
            </w:pPr>
            <w:r>
              <w:rPr>
                <w:rFonts w:ascii="Times New Roman" w:hAnsi="Times New Roman"/>
                <w:sz w:val="22"/>
              </w:rPr>
              <w:t>20</w:t>
            </w:r>
          </w:p>
        </w:tc>
      </w:tr>
      <w:tr w14:paraId="3224375A">
        <w:tblPrEx>
          <w:tblCellMar>
            <w:top w:w="0" w:type="dxa"/>
            <w:left w:w="108" w:type="dxa"/>
            <w:bottom w:w="0" w:type="dxa"/>
            <w:right w:w="108" w:type="dxa"/>
          </w:tblCellMar>
        </w:tblPrEx>
        <w:trPr>
          <w:jc w:val="center"/>
          <w:cantSplit/>
        </w:trPr>
        <w:tc>
          <w:tcPr>
            <w:tcW w:w="8500" w:type="dxa"/>
            <w:tcBorders>
              <w:top w:val="nil"/>
              <w:left w:val="nil"/>
              <w:bottom w:val="nil"/>
              <w:right w:val="nil"/>
              <w:insideH w:val="nil"/>
              <w:insideV w:val="nil"/>
            </w:tcBorders>
            <w:tcMar>
              <w:top w:w="30" w:type="dxa"/>
              <w:left w:w="0" w:type="dxa"/>
              <w:bottom w:w="30" w:type="dxa"/>
              <w:right w:w="0" w:type="dxa"/>
            </w:tcMar>
          </w:tcPr>
          <w:p w14:paraId="26622EEF">
            <w:pPr>
              <w:jc w:val="left"/>
            </w:pPr>
            <w:r>
              <w:rPr>
                <w:rFonts w:ascii="Times New Roman" w:hAnsi="Times New Roman"/>
                <w:sz w:val="22"/>
              </w:rPr>
              <w:t>9 CONSIDERAÇÕES FINAIS</w:t>
            </w:r>
          </w:p>
        </w:tc>
        <w:tc>
          <w:tcPr>
            <w:tcW w:w="904" w:type="dxa"/>
            <w:tcBorders>
              <w:top w:val="nil"/>
              <w:left w:val="nil"/>
              <w:bottom w:val="nil"/>
              <w:right w:val="nil"/>
              <w:insideH w:val="nil"/>
              <w:insideV w:val="nil"/>
            </w:tcBorders>
            <w:tcMar>
              <w:top w:w="30" w:type="dxa"/>
              <w:left w:w="0" w:type="dxa"/>
              <w:bottom w:w="30" w:type="dxa"/>
              <w:right w:w="0" w:type="dxa"/>
            </w:tcMar>
          </w:tcPr>
          <w:p w14:paraId="7CE3AC7C">
            <w:pPr>
              <w:jc w:val="right"/>
            </w:pPr>
            <w:r>
              <w:rPr>
                <w:rFonts w:ascii="Times New Roman" w:hAnsi="Times New Roman"/>
                <w:sz w:val="22"/>
              </w:rPr>
              <w:t>20</w:t>
            </w:r>
          </w:p>
        </w:tc>
      </w:tr>
      <w:tr w14:paraId="2E0FD5C8">
        <w:tblPrEx>
          <w:tblCellMar>
            <w:top w:w="0" w:type="dxa"/>
            <w:left w:w="108" w:type="dxa"/>
            <w:bottom w:w="0" w:type="dxa"/>
            <w:right w:w="108" w:type="dxa"/>
          </w:tblCellMar>
        </w:tblPrEx>
        <w:trPr>
          <w:jc w:val="center"/>
          <w:cantSplit/>
        </w:trPr>
        <w:tc>
          <w:tcPr>
            <w:tcW w:w="8500" w:type="dxa"/>
            <w:tcBorders>
              <w:top w:val="nil"/>
              <w:left w:val="nil"/>
              <w:bottom w:val="nil"/>
              <w:right w:val="nil"/>
              <w:insideH w:val="nil"/>
              <w:insideV w:val="nil"/>
            </w:tcBorders>
            <w:tcMar>
              <w:top w:w="30" w:type="dxa"/>
              <w:left w:w="0" w:type="dxa"/>
              <w:bottom w:w="30" w:type="dxa"/>
              <w:right w:w="0" w:type="dxa"/>
            </w:tcMar>
          </w:tcPr>
          <w:p w14:paraId="79C33EC7">
            <w:pPr>
              <w:jc w:val="left"/>
            </w:pPr>
            <w:r>
              <w:rPr>
                <w:rFonts w:ascii="Times New Roman" w:hAnsi="Times New Roman"/>
                <w:sz w:val="22"/>
              </w:rPr>
              <w:t>REFERÊNCIAS</w:t>
            </w:r>
          </w:p>
        </w:tc>
        <w:tc>
          <w:tcPr>
            <w:tcW w:w="904" w:type="dxa"/>
            <w:tcBorders>
              <w:top w:val="nil"/>
              <w:left w:val="nil"/>
              <w:bottom w:val="nil"/>
              <w:right w:val="nil"/>
              <w:insideH w:val="nil"/>
              <w:insideV w:val="nil"/>
            </w:tcBorders>
            <w:tcMar>
              <w:top w:w="30" w:type="dxa"/>
              <w:left w:w="0" w:type="dxa"/>
              <w:bottom w:w="30" w:type="dxa"/>
              <w:right w:w="0" w:type="dxa"/>
            </w:tcMar>
          </w:tcPr>
          <w:p w14:paraId="259317AA">
            <w:pPr>
              <w:jc w:val="right"/>
            </w:pPr>
            <w:r>
              <w:rPr>
                <w:rFonts w:ascii="Times New Roman" w:hAnsi="Times New Roman"/>
                <w:sz w:val="22"/>
              </w:rPr>
              <w:t>21</w:t>
            </w:r>
          </w:p>
        </w:tc>
      </w:tr>
      <w:tr w14:paraId="5CB10F9F">
        <w:tblPrEx>
          <w:tblCellMar>
            <w:top w:w="0" w:type="dxa"/>
            <w:left w:w="108" w:type="dxa"/>
            <w:bottom w:w="0" w:type="dxa"/>
            <w:right w:w="108" w:type="dxa"/>
          </w:tblCellMar>
        </w:tblPrEx>
        <w:trPr>
          <w:jc w:val="center"/>
          <w:cantSplit/>
        </w:trPr>
        <w:tc>
          <w:tcPr>
            <w:tcW w:w="8500" w:type="dxa"/>
            <w:tcBorders>
              <w:top w:val="nil"/>
              <w:left w:val="nil"/>
              <w:bottom w:val="nil"/>
              <w:right w:val="nil"/>
              <w:insideH w:val="nil"/>
              <w:insideV w:val="nil"/>
            </w:tcBorders>
            <w:tcMar>
              <w:top w:w="30" w:type="dxa"/>
              <w:left w:w="0" w:type="dxa"/>
              <w:bottom w:w="30" w:type="dxa"/>
              <w:right w:w="0" w:type="dxa"/>
            </w:tcMar>
          </w:tcPr>
          <w:p w14:paraId="389A01AE">
            <w:pPr>
              <w:jc w:val="left"/>
            </w:pPr>
            <w:r>
              <w:rPr>
                <w:rFonts w:ascii="Times New Roman" w:hAnsi="Times New Roman"/>
                <w:sz w:val="22"/>
              </w:rPr>
              <w:t>APÊNDICE A - MATRIZ DOS 16 CADERNOS</w:t>
            </w:r>
          </w:p>
        </w:tc>
        <w:tc>
          <w:tcPr>
            <w:tcW w:w="904" w:type="dxa"/>
            <w:tcBorders>
              <w:top w:val="nil"/>
              <w:left w:val="nil"/>
              <w:bottom w:val="nil"/>
              <w:right w:val="nil"/>
              <w:insideH w:val="nil"/>
              <w:insideV w:val="nil"/>
            </w:tcBorders>
            <w:tcMar>
              <w:top w:w="30" w:type="dxa"/>
              <w:left w:w="0" w:type="dxa"/>
              <w:bottom w:w="30" w:type="dxa"/>
              <w:right w:w="0" w:type="dxa"/>
            </w:tcMar>
          </w:tcPr>
          <w:p w14:paraId="2A5103F0">
            <w:pPr>
              <w:jc w:val="right"/>
            </w:pPr>
            <w:r>
              <w:rPr>
                <w:rFonts w:ascii="Times New Roman" w:hAnsi="Times New Roman"/>
                <w:sz w:val="22"/>
              </w:rPr>
              <w:t>23</w:t>
            </w:r>
          </w:p>
        </w:tc>
      </w:tr>
      <w:tr w14:paraId="54A6E9CE">
        <w:tblPrEx>
          <w:tblCellMar>
            <w:top w:w="0" w:type="dxa"/>
            <w:left w:w="108" w:type="dxa"/>
            <w:bottom w:w="0" w:type="dxa"/>
            <w:right w:w="108" w:type="dxa"/>
          </w:tblCellMar>
        </w:tblPrEx>
        <w:trPr>
          <w:jc w:val="center"/>
          <w:cantSplit/>
        </w:trPr>
        <w:tc>
          <w:tcPr>
            <w:tcW w:w="8500" w:type="dxa"/>
            <w:tcBorders>
              <w:top w:val="nil"/>
              <w:left w:val="nil"/>
              <w:bottom w:val="nil"/>
              <w:right w:val="nil"/>
              <w:insideH w:val="nil"/>
              <w:insideV w:val="nil"/>
            </w:tcBorders>
            <w:tcMar>
              <w:top w:w="30" w:type="dxa"/>
              <w:left w:w="0" w:type="dxa"/>
              <w:bottom w:w="30" w:type="dxa"/>
              <w:right w:w="0" w:type="dxa"/>
            </w:tcMar>
          </w:tcPr>
          <w:p w14:paraId="2B864A2C">
            <w:pPr>
              <w:jc w:val="left"/>
            </w:pPr>
            <w:r>
              <w:rPr>
                <w:rFonts w:ascii="Times New Roman" w:hAnsi="Times New Roman"/>
                <w:sz w:val="22"/>
              </w:rPr>
              <w:t xml:space="preserve">APÊNDICE B - PROPOSTA DE DIVULGAÇÃO DA PESQUISA</w:t>
            </w:r>
          </w:p>
        </w:tc>
        <w:tc>
          <w:tcPr>
            <w:tcW w:w="904" w:type="dxa"/>
            <w:tcBorders>
              <w:top w:val="nil"/>
              <w:left w:val="nil"/>
              <w:bottom w:val="nil"/>
              <w:right w:val="nil"/>
              <w:insideH w:val="nil"/>
              <w:insideV w:val="nil"/>
            </w:tcBorders>
            <w:tcMar>
              <w:top w:w="30" w:type="dxa"/>
              <w:left w:w="0" w:type="dxa"/>
              <w:bottom w:w="30" w:type="dxa"/>
              <w:right w:w="0" w:type="dxa"/>
            </w:tcMar>
          </w:tcPr>
          <w:p w14:paraId="1C157234">
            <w:pPr>
              <w:jc w:val="right"/>
            </w:pPr>
            <w:r>
              <w:rPr>
                <w:rFonts w:ascii="Times New Roman" w:hAnsi="Times New Roman"/>
                <w:sz w:val="22"/>
              </w:rPr>
              <w:t>25</w:t>
            </w:r>
          </w:p>
        </w:tc>
      </w:tr>
      <w:tr w14:paraId="177A77AC">
        <w:tblPrEx>
          <w:tblCellMar>
            <w:top w:w="0" w:type="dxa"/>
            <w:left w:w="108" w:type="dxa"/>
            <w:bottom w:w="0" w:type="dxa"/>
            <w:right w:w="108" w:type="dxa"/>
          </w:tblCellMar>
        </w:tblPrEx>
        <w:trPr>
          <w:jc w:val="center"/>
          <w:cantSplit/>
        </w:trPr>
        <w:tc>
          <w:tcPr>
            <w:tcW w:w="8500" w:type="dxa"/>
            <w:tcBorders>
              <w:top w:val="nil"/>
              <w:left w:val="nil"/>
              <w:bottom w:val="nil"/>
              <w:right w:val="nil"/>
              <w:insideH w:val="nil"/>
              <w:insideV w:val="nil"/>
            </w:tcBorders>
            <w:tcMar>
              <w:top w:w="30" w:type="dxa"/>
              <w:left w:w="0" w:type="dxa"/>
              <w:bottom w:w="30" w:type="dxa"/>
              <w:right w:w="0" w:type="dxa"/>
            </w:tcMar>
          </w:tcPr>
          <w:p w14:paraId="5BB38DCB">
            <w:pPr>
              <w:jc w:val="left"/>
            </w:pPr>
            <w:r>
              <w:rPr>
                <w:rFonts w:ascii="Times New Roman" w:hAnsi="Times New Roman"/>
                <w:sz w:val="22"/>
              </w:rPr>
              <w:t>APÊNDICE C - CHECKLIST DE RASTREABILIDADE E QUALIDADE</w:t>
            </w:r>
          </w:p>
        </w:tc>
        <w:tc>
          <w:tcPr>
            <w:tcW w:w="904" w:type="dxa"/>
            <w:tcBorders>
              <w:top w:val="nil"/>
              <w:left w:val="nil"/>
              <w:bottom w:val="nil"/>
              <w:right w:val="nil"/>
              <w:insideH w:val="nil"/>
              <w:insideV w:val="nil"/>
            </w:tcBorders>
            <w:tcMar>
              <w:top w:w="30" w:type="dxa"/>
              <w:left w:w="0" w:type="dxa"/>
              <w:bottom w:w="30" w:type="dxa"/>
              <w:right w:w="0" w:type="dxa"/>
            </w:tcMar>
          </w:tcPr>
          <w:p w14:paraId="6BBC9B7C">
            <w:pPr>
              <w:jc w:val="right"/>
            </w:pPr>
            <w:r>
              <w:rPr>
                <w:rFonts w:ascii="Times New Roman" w:hAnsi="Times New Roman"/>
                <w:sz w:val="22"/>
              </w:rPr>
              <w:t>27</w:t>
            </w:r>
          </w:p>
        </w:tc>
      </w:tr>
      <w:tr>
        <w:tc>
          <w:tcPr>
            <w:tcW w:type="dxa" w:w="8500"/>
          </w:tcPr>
          <w:p>
            <w:pPr>
              <w:jc w:val="left"/>
            </w:pPr>
            <w:r>
              <w:rPr>
                <w:rFonts w:ascii="Times New Roman" w:hAnsi="Times New Roman"/>
                <w:sz w:val="24"/>
              </w:rPr>
              <w:t>APÊNDICE D - MATRIZ DE RASTREABILIDADE DAS FONTES R1-R22</w:t>
            </w:r>
          </w:p>
        </w:tc>
        <w:tc>
          <w:tcPr>
            <w:tcW w:type="dxa" w:w="904"/>
          </w:tcPr>
          <w:p>
            <w:pPr>
              <w:jc w:val="right"/>
            </w:pPr>
            <w:r>
              <w:rPr>
                <w:rFonts w:ascii="Times New Roman" w:hAnsi="Times New Roman"/>
                <w:sz w:val="24"/>
              </w:rPr>
              <w:t>28</w:t>
            </w:r>
          </w:p>
        </w:tc>
      </w:tr>
    </w:tbl>
    <w:p w14:paraId="04021442">
      <w:r>
        <w:br w:type="page"/>
      </w:r>
    </w:p>
    <w:p w14:paraId="1C7F5DF4">
      <w:pPr>
        <w:sectPr>
          <w:pgSz w:w="12240" w:h="15840"/>
          <w:pgMar w:top="1701" w:right="1134" w:bottom="1134" w:left="1701" w:header="680" w:footer="680" w:gutter="0"/>
          <w:cols w:space="720" w:num="1"/>
          <w:docGrid w:linePitch="360" w:charSpace="0"/>
        </w:sectPr>
      </w:pPr>
    </w:p>
    <w:p w14:paraId="33D6D59D">
      <w:pPr>
        <w:pStyle w:val="2"/>
        <w:keepNext/>
        <w:keepLines/>
        <w:spacing w:before="240" w:after="120"/>
        <w:jc w:val="left"/>
      </w:pPr>
      <w:r>
        <w:rPr>
          <w:rFonts w:ascii="Times New Roman" w:hAnsi="Times New Roman"/>
          <w:b/>
          <w:sz w:val="24"/>
        </w:rPr>
        <w:t>1 INTRODUÇÃO</w:t>
      </w:r>
    </w:p>
    <w:p w14:paraId="1555679F">
      <w:pPr>
        <w:keepNext w:val="0"/>
        <w:spacing w:before="0" w:after="0" w:line="360" w:lineRule="auto"/>
        <w:ind w:firstLine="709"/>
        <w:jc w:val="both"/>
      </w:pPr>
      <w:r>
        <w:rPr>
          <w:rFonts w:ascii="Times New Roman" w:hAnsi="Times New Roman"/>
          <w:sz w:val="24"/>
        </w:rPr>
        <w:t xml:space="preserve">A economia da criação de conteúdo tornou-se uma expressão guarda-chuva para descrever atividades econômicas e culturais baseadas na produção, distribuição, circulação e monetização de conteúdo, conhecimento, reputação, audiência, comunidade e propriedade intelectual em ambientes digitais. Seu desenvolvimento está diretamente associado à expansão das plataformas sociais, à profissionalização da criação de conteúdo e ao surgimento de intermediários especializados em conectar creators, marcas, audiências, comércio e tecnologias de mensuração. Ao mesmo tempo, a velocidade dessa expansão foi acompanhada por um problema conceitual: diferentes agentes do mercado utilizam vocabulários parcialmente sobrepostos, com fronteiras variáveis entre identidade profissional, função comunicacional, formato de conteúdo, relação comercial e fonte de receita.</w:t>
      </w:r>
    </w:p>
    <w:p w14:paraId="5F02C59D">
      <w:pPr>
        <w:keepNext w:val="0"/>
        <w:spacing w:before="0" w:after="0" w:line="360" w:lineRule="auto"/>
        <w:ind w:firstLine="709"/>
        <w:jc w:val="both"/>
      </w:pPr>
      <w:r>
        <w:rPr>
          <w:rFonts w:ascii="Times New Roman" w:hAnsi="Times New Roman"/>
          <w:sz w:val="24"/>
        </w:rPr>
        <w:t xml:space="preserve">O IAB publicou em 2025 o documento Economia da criação de conteúdo: definições e taxonomia [título traduzido] com o objetivo explícito de promover uma linguagem compartilhada e padronizar termos centrais para marcas, agências, plataformas e creators (IAB, 2025a). O movimento foi complementado pelo Mapa do ecossistema da economia da criação de conteúdo [título traduzido], atualizado em fevereiro de 2025, que organiza categorias, processos e inter-relações do ecossistema e reforça uma leitura ecossistêmica que ultrapassa a figura do creator individual (IAB, 2025b). No Brasil, o IAB Brasil traduziu e adaptou esse mapa para o contexto nacional, enfatizando a necessidade de um entendimento compartilhado entre diferentes participantes do mercado (IAB BRASIL, 2025a).</w:t>
      </w:r>
    </w:p>
    <w:p w14:paraId="205E963A">
      <w:pPr>
        <w:keepNext w:val="0"/>
        <w:spacing w:before="0" w:after="0" w:line="360" w:lineRule="auto"/>
        <w:ind w:firstLine="709"/>
        <w:jc w:val="both"/>
      </w:pPr>
      <w:r>
        <w:rPr>
          <w:rFonts w:ascii="Times New Roman" w:hAnsi="Times New Roman"/>
          <w:sz w:val="24"/>
        </w:rPr>
        <w:t>O problema, contudo, não se resolve apenas com a criação de um glossário. A literatura acadêmica examinada discute o universo dos creators em conexão com processos mais amplos de celebridade digital, trabalho criativo, empreendedorismo, plataformização e gestão algorítmica da visibilidade. Abidin (2018) descreve a diversidade de formas de fama e microcelebridade na internet; Cunningham e Craig (2019) situam creators em uma nova indústria de social media entertainment; Hund (2023) analisa a consolidação da influencer industry e sua busca permanente por autenticidade; Duffy (2017) evidencia tensões entre trabalho aspiracional, autonomia e precariedade; e Poell, Nieborg e Duffy (2022) analisam como plataformas reconfiguram mercados, infraestrutura, governança e práticas de produção cultural.</w:t>
      </w:r>
    </w:p>
    <w:p w14:paraId="0842CB5E">
      <w:pPr>
        <w:keepNext w:val="0"/>
        <w:spacing w:before="0" w:after="0" w:line="360" w:lineRule="auto"/>
        <w:ind w:firstLine="709"/>
        <w:jc w:val="both"/>
      </w:pPr>
      <w:r>
        <w:rPr>
          <w:rFonts w:ascii="Times New Roman" w:hAnsi="Times New Roman"/>
          <w:sz w:val="24"/>
        </w:rPr>
        <w:t xml:space="preserve">No Brasil, Karhawi (2017) registra a evolução histórica do termo influenciador digital e sua relação com práticas anteriores, como blogs e produção multiplataforma. Trabalhos posteriores aprofundam a relação entre creators, métricas, algoritmos e trabalho de visibilidade (KARHAWI, 2024), bem como os efeitos de ritmos de trabalho condicionados por plataformas (KARHAWI; PRAZERES, 2022). O estudo de Pereira e Borges (2024), apresentado no 47º Congresso Brasileiro de Ciências da Comunicação, também procura mapear o ecossistema da economia da criação de conteúdo no país, reforçando a pertinência de uma abordagem relacional e contextualizada.</w:t>
      </w:r>
    </w:p>
    <w:p w14:paraId="58F98A7C">
      <w:pPr>
        <w:keepNext w:val="0"/>
        <w:spacing w:before="0" w:after="0" w:line="360" w:lineRule="auto"/>
        <w:ind w:firstLine="709"/>
        <w:jc w:val="both"/>
      </w:pPr>
      <w:r>
        <w:rPr>
          <w:rFonts w:ascii="Times New Roman" w:hAnsi="Times New Roman"/>
          <w:sz w:val="24"/>
        </w:rPr>
        <w:t>Este artigo parte da hipótese de que uma lista plana de categorias é insuficiente para representar o ecossistema. Termos como creator, influencer, streamer, afiliado e brand ambassador não pertencem necessariamente ao mesmo nível analítico. "Streamer" tende a indicar forma predominante de criação e distribuição; "afiliado" descreve prioritariamente uma relação econômica baseada em performance; "brand ambassador" descreve uma relação continuada com uma marca; "influencer" enfatiza capacidade de influência e capital relacional; e "creator entrepreneur" descreve a transformação de ativos criativos em empreendimento. Uma única pessoa pode combinar todos esses atributos.</w:t>
      </w:r>
    </w:p>
    <w:p w14:paraId="0E502397">
      <w:pPr>
        <w:keepNext w:val="0"/>
        <w:spacing w:before="0" w:after="0" w:line="360" w:lineRule="auto"/>
        <w:ind w:firstLine="709"/>
        <w:jc w:val="both"/>
      </w:pPr>
      <w:r>
        <w:rPr>
          <w:rFonts w:ascii="Times New Roman" w:hAnsi="Times New Roman"/>
          <w:sz w:val="24"/>
        </w:rPr>
        <w:t xml:space="preserve">O objetivo deste estudo é, portanto, propor uma Taxonomia Brasileira Multidimensional da economia da criação de conteúdo, tecnicamente fundamentada, rastreável e capaz de representar simultaneamente identidade, função, formato, canal, relação econômica, monetização e intermediação. A proposta não pretende substituir taxonomias existentes. Seu propósito é oferecer uma camada de sistematização adaptada ao contexto brasileiro e adequada à comunicação pública da pesquisa, preservando diálogo com referências internacionais, práticas de mercado e literatura científica.</w:t>
      </w:r>
    </w:p>
    <w:p w14:paraId="0CD98291">
      <w:pPr>
        <w:pStyle w:val="2"/>
        <w:keepNext/>
        <w:keepLines/>
        <w:spacing w:before="240" w:after="120"/>
        <w:jc w:val="left"/>
      </w:pPr>
      <w:r>
        <w:rPr>
          <w:rFonts w:ascii="Times New Roman" w:hAnsi="Times New Roman"/>
          <w:b/>
          <w:sz w:val="24"/>
        </w:rPr>
        <w:t>2 PROBLEMA, HIPÓTESE E OBJETIVOS</w:t>
      </w:r>
    </w:p>
    <w:p w14:paraId="07ECF435">
      <w:pPr>
        <w:pStyle w:val="3"/>
        <w:keepNext/>
        <w:keepLines/>
        <w:spacing w:before="160" w:after="120"/>
        <w:jc w:val="left"/>
      </w:pPr>
      <w:r>
        <w:rPr>
          <w:rFonts w:ascii="Times New Roman" w:hAnsi="Times New Roman"/>
          <w:b/>
          <w:sz w:val="24"/>
        </w:rPr>
        <w:t>2.1 Delimitação do problema</w:t>
      </w:r>
    </w:p>
    <w:p w14:paraId="6786B750">
      <w:pPr>
        <w:keepNext w:val="0"/>
        <w:spacing w:before="0" w:after="0" w:line="360" w:lineRule="auto"/>
        <w:ind w:firstLine="709"/>
        <w:jc w:val="both"/>
      </w:pPr>
      <w:r>
        <w:rPr>
          <w:rFonts w:ascii="Times New Roman" w:hAnsi="Times New Roman"/>
          <w:sz w:val="24"/>
        </w:rPr>
        <w:t>O problema central de pesquisa decorre da coexistência de categorias semânticas de naturezas diferentes. Algumas expressões identificam agentes ou posições sociais; outras descrevem funções, formatos, canais, relações comerciais, modelos de remuneração, tecnologias ou estruturas intermediárias. Quando esses elementos são colocados em uma única lista, a taxonomia confunde níveis analíticos e dificulta a interpretação de fenômenos híbridos.</w:t>
      </w:r>
    </w:p>
    <w:p w14:paraId="2591C5B1">
      <w:pPr>
        <w:keepNext w:val="0"/>
        <w:spacing w:before="0" w:after="0" w:line="360" w:lineRule="auto"/>
        <w:ind w:firstLine="709"/>
        <w:jc w:val="both"/>
      </w:pPr>
      <w:r>
        <w:rPr>
          <w:rFonts w:ascii="Times New Roman" w:hAnsi="Times New Roman"/>
          <w:sz w:val="24"/>
        </w:rPr>
        <w:t xml:space="preserve">A pergunta de pesquisa é: como estruturar uma taxonomia brasileira da economia da criação de conteúdo capaz de representar adequadamente agentes, funções, formatos, canais, relações econômicas, mecanismos de monetização, intermediários e infraestrutura, sem reduzir o ecossistema a categorias mutuamente excludentes?</w:t>
      </w:r>
    </w:p>
    <w:p w14:paraId="2F39875D">
      <w:pPr>
        <w:pStyle w:val="3"/>
        <w:keepNext/>
        <w:keepLines/>
        <w:spacing w:before="160" w:after="120"/>
        <w:jc w:val="left"/>
      </w:pPr>
      <w:r>
        <w:rPr>
          <w:rFonts w:ascii="Times New Roman" w:hAnsi="Times New Roman"/>
          <w:b/>
          <w:sz w:val="24"/>
        </w:rPr>
        <w:t>2.2 Hipótese de trabalho</w:t>
      </w:r>
    </w:p>
    <w:p w14:paraId="2DE13714">
      <w:pPr>
        <w:keepNext w:val="0"/>
        <w:spacing w:before="0" w:after="0" w:line="360" w:lineRule="auto"/>
        <w:ind w:firstLine="709"/>
        <w:jc w:val="both"/>
      </w:pPr>
      <w:r>
        <w:rPr>
          <w:rFonts w:ascii="Times New Roman" w:hAnsi="Times New Roman"/>
          <w:sz w:val="24"/>
        </w:rPr>
        <w:t xml:space="preserve">A hipótese de trabalho é que a economia da criação de conteúdo pode ser representada com maior precisão analítica por um sistema multidimensional de atributos do que por uma classificação unidimensional baseada apenas na denominação do profissional. Nessa perspectiva, cada participante pode ser descrito por uma configuração de dimensões complementares. A hipótese também considera que algumas categorias utilizadas cotidianamente pelo mercado são ontologicamente distintas: umas dizem respeito ao sujeito, outras à atividade, ao vínculo econômico, ao ativo monetizado ou à infraestrutura que permite a circulação de valor.</w:t>
      </w:r>
    </w:p>
    <w:p w14:paraId="2748CD14">
      <w:pPr>
        <w:pStyle w:val="3"/>
        <w:keepNext/>
        <w:keepLines/>
        <w:spacing w:before="160" w:after="120"/>
        <w:jc w:val="left"/>
      </w:pPr>
      <w:r>
        <w:rPr>
          <w:rFonts w:ascii="Times New Roman" w:hAnsi="Times New Roman"/>
          <w:b/>
          <w:sz w:val="24"/>
        </w:rPr>
        <w:t>2.3 Objetivo geral</w:t>
      </w:r>
    </w:p>
    <w:p w14:paraId="7D16CC8D">
      <w:pPr>
        <w:keepNext w:val="0"/>
        <w:spacing w:before="0" w:after="0" w:line="360" w:lineRule="auto"/>
        <w:ind w:firstLine="709"/>
        <w:jc w:val="both"/>
      </w:pPr>
      <w:r>
        <w:rPr>
          <w:rFonts w:ascii="Times New Roman" w:hAnsi="Times New Roman"/>
          <w:sz w:val="24"/>
        </w:rPr>
        <w:t xml:space="preserve">Propor e fundamentar uma Taxonomia Brasileira Multidimensional da economia da criação de conteúdo capaz de explicar quem participa do ecossistema, o que cada participante faz, como cria e distribui conteúdo, como se relaciona economicamente, onde gera valor, como monetiza e quais agentes e infraestruturas intermedeiam sua atuação.</w:t>
      </w:r>
    </w:p>
    <w:p w14:paraId="50FBD9F5">
      <w:pPr>
        <w:pStyle w:val="3"/>
        <w:keepNext/>
        <w:keepLines/>
        <w:spacing w:before="160" w:after="120"/>
        <w:jc w:val="left"/>
      </w:pPr>
      <w:r>
        <w:rPr>
          <w:rFonts w:ascii="Times New Roman" w:hAnsi="Times New Roman"/>
          <w:b/>
          <w:sz w:val="24"/>
        </w:rPr>
        <w:t>2.4 Objetivos específicos</w:t>
      </w:r>
    </w:p>
    <w:p w14:paraId="47A47E8E">
      <w:pPr>
        <w:pStyle w:val="34"/>
        <w:spacing w:line="360" w:lineRule="auto"/>
        <w:ind w:left="709" w:hanging="283"/>
        <w:jc w:val="both"/>
      </w:pPr>
      <w:r>
        <w:rPr>
          <w:rFonts w:ascii="Times New Roman" w:hAnsi="Times New Roman"/>
          <w:sz w:val="24"/>
        </w:rPr>
        <w:t>Identificar conceitos e categorias recorrentes nas principais taxonomias, mapas setoriais, pesquisas e trabalhos acadêmicos selecionados.</w:t>
      </w:r>
    </w:p>
    <w:p w14:paraId="636C8D42">
      <w:pPr>
        <w:pStyle w:val="34"/>
        <w:spacing w:line="360" w:lineRule="auto"/>
        <w:ind w:left="709" w:hanging="283"/>
        <w:jc w:val="both"/>
      </w:pPr>
      <w:r>
        <w:rPr>
          <w:rFonts w:ascii="Times New Roman" w:hAnsi="Times New Roman"/>
          <w:sz w:val="24"/>
        </w:rPr>
        <w:t>Comparar definições e distinguir convergências, divergências e ambiguidades de escopo.</w:t>
      </w:r>
    </w:p>
    <w:p w14:paraId="3EC8D555">
      <w:pPr>
        <w:pStyle w:val="34"/>
        <w:spacing w:line="360" w:lineRule="auto"/>
        <w:ind w:left="709" w:hanging="283"/>
        <w:jc w:val="both"/>
      </w:pPr>
      <w:r>
        <w:rPr>
          <w:rFonts w:ascii="Times New Roman" w:hAnsi="Times New Roman"/>
          <w:sz w:val="24"/>
        </w:rPr>
        <w:t>Separar categorias de agente, formato/canal, função, relação econômica, negócio/monetização e intermediação/infraestrutura.</w:t>
      </w:r>
    </w:p>
    <w:p w14:paraId="547E589F">
      <w:pPr>
        <w:pStyle w:val="34"/>
        <w:spacing w:line="360" w:lineRule="auto"/>
        <w:ind w:left="709" w:hanging="283"/>
        <w:jc w:val="both"/>
      </w:pPr>
      <w:r>
        <w:rPr>
          <w:rFonts w:ascii="Times New Roman" w:hAnsi="Times New Roman"/>
          <w:sz w:val="24"/>
        </w:rPr>
        <w:t>Contextualizar conceitos internacionais à realidade terminológica e econômica brasileira.</w:t>
      </w:r>
    </w:p>
    <w:p w14:paraId="78DF9664">
      <w:pPr>
        <w:pStyle w:val="34"/>
        <w:spacing w:line="360" w:lineRule="auto"/>
        <w:ind w:left="709" w:hanging="283"/>
        <w:jc w:val="both"/>
      </w:pPr>
      <w:r>
        <w:rPr>
          <w:rFonts w:ascii="Times New Roman" w:hAnsi="Times New Roman"/>
          <w:sz w:val="24"/>
        </w:rPr>
        <w:t>Propor definições institucionais curtas e tecnicamente fundamentadas para conceitos essenciais do Guia.</w:t>
      </w:r>
    </w:p>
    <w:p w14:paraId="29FD6AFE">
      <w:pPr>
        <w:pStyle w:val="34"/>
        <w:spacing w:line="360" w:lineRule="auto"/>
        <w:ind w:left="709" w:hanging="283"/>
        <w:jc w:val="both"/>
      </w:pPr>
      <w:r>
        <w:rPr>
          <w:rFonts w:ascii="Times New Roman" w:hAnsi="Times New Roman"/>
          <w:sz w:val="24"/>
        </w:rPr>
        <w:t>Produzir uma estrutura de rastreabilidade que permita reconstruir a relação entre fonte, decisão conceitual e formulação final.</w:t>
      </w:r>
    </w:p>
    <w:p w14:paraId="06CC5CC9">
      <w:pPr>
        <w:pStyle w:val="34"/>
        <w:spacing w:line="360" w:lineRule="auto"/>
        <w:ind w:left="709" w:hanging="283"/>
        <w:jc w:val="both"/>
      </w:pPr>
      <w:r>
        <w:rPr>
          <w:rFonts w:ascii="Times New Roman" w:hAnsi="Times New Roman"/>
          <w:sz w:val="24"/>
        </w:rPr>
        <w:t>Examinar implicações emergentes de inteligência artificial, conteúdo sintético, mensuração e proteção de crianças e adolescentes.</w:t>
      </w:r>
    </w:p>
    <w:p w14:paraId="3C62E9E4">
      <w:pPr>
        <w:pStyle w:val="34"/>
        <w:spacing w:line="360" w:lineRule="auto"/>
        <w:ind w:left="709" w:hanging="283"/>
        <w:jc w:val="both"/>
      </w:pPr>
      <w:r>
        <w:rPr>
          <w:rFonts w:ascii="Times New Roman" w:hAnsi="Times New Roman"/>
          <w:sz w:val="24"/>
        </w:rPr>
        <w:t xml:space="preserve">Converter os resultados em arquitetura adequada tanto a um artigo científico quanto a uma publicação visual e sintética no acervo da autora.</w:t>
      </w:r>
    </w:p>
    <w:p w14:paraId="225FDDD9">
      <w:pPr>
        <w:pStyle w:val="2"/>
        <w:keepNext/>
        <w:keepLines/>
        <w:spacing w:before="240" w:after="120"/>
        <w:jc w:val="left"/>
      </w:pPr>
      <w:r>
        <w:rPr>
          <w:rFonts w:ascii="Times New Roman" w:hAnsi="Times New Roman"/>
          <w:b/>
          <w:sz w:val="24"/>
        </w:rPr>
        <w:t>3 REFERENCIAL TEÓRICO-CONCEITUAL</w:t>
      </w:r>
    </w:p>
    <w:p w14:paraId="1C46FC25">
      <w:pPr>
        <w:pStyle w:val="3"/>
        <w:keepNext/>
        <w:keepLines/>
        <w:spacing w:before="160" w:after="120"/>
        <w:jc w:val="left"/>
      </w:pPr>
      <w:r>
        <w:rPr>
          <w:rFonts w:ascii="Times New Roman" w:hAnsi="Times New Roman"/>
          <w:b/>
          <w:sz w:val="24"/>
        </w:rPr>
        <w:t xml:space="preserve">3.1 Economia da criação de conteúdo como ecossistema</w:t>
      </w:r>
    </w:p>
    <w:p w14:paraId="2B00C4AC">
      <w:pPr>
        <w:keepNext w:val="0"/>
        <w:spacing w:before="0" w:after="0" w:line="360" w:lineRule="auto"/>
        <w:ind w:firstLine="709"/>
        <w:jc w:val="both"/>
      </w:pPr>
      <w:r>
        <w:rPr>
          <w:rFonts w:ascii="Times New Roman" w:hAnsi="Times New Roman"/>
          <w:sz w:val="24"/>
        </w:rPr>
        <w:t xml:space="preserve">A primeira decisão conceitual é tratar a economia da criação de conteúdo como ecossistema. Essa escolha desloca a análise de uma profissão específica para um conjunto de relações entre criação, distribuição, audiência, tecnologia, marcas, plataformas, publicidade, comércio, serviços, propriedade intelectual e infraestrutura. O IAB (2025b) organiza seu mapa justamente para oferecer uma referência visual das categorias, processos e inter-relações entre creators, representação, marcas e plataformas. A adaptação do IAB Brasil (2025a) reforça essa leitura ao apresentar o mapa como instrumento para contextualizar e organizar informações no mercado brasileiro.</w:t>
      </w:r>
    </w:p>
    <w:p w14:paraId="5F51AD3A">
      <w:pPr>
        <w:keepNext w:val="0"/>
        <w:spacing w:before="0" w:after="0" w:line="360" w:lineRule="auto"/>
        <w:ind w:firstLine="709"/>
        <w:jc w:val="both"/>
      </w:pPr>
      <w:r>
        <w:rPr>
          <w:rFonts w:ascii="Times New Roman" w:hAnsi="Times New Roman"/>
          <w:sz w:val="24"/>
        </w:rPr>
        <w:t xml:space="preserve">Na literatura, Cunningham e Craig (2019) descrevem a emergência de uma indústria de entretenimento em mídias sociais que combina práticas de creators, ecossistemas de plataformas e novas formas de intermediação. Poell, Nieborg e Duffy (2022) ampliam esse enquadramento ao situar a plataformização da produção cultural em três dimensões institucionais - mercados, infraestrutura e governança - e em transformações das práticas de trabalho, criatividade e poder. A economia da criação de conteúdo pode ser entendida, assim, como uma formação econômica na qual a criação de conteúdo é apenas um dos elementos de uma cadeia mais ampla de produção e captura de valor.</w:t>
      </w:r>
    </w:p>
    <w:p w14:paraId="36EAC313">
      <w:pPr>
        <w:pStyle w:val="3"/>
        <w:keepNext/>
        <w:keepLines/>
        <w:spacing w:before="160" w:after="120"/>
        <w:jc w:val="left"/>
      </w:pPr>
      <w:r>
        <w:rPr>
          <w:rFonts w:ascii="Times New Roman" w:hAnsi="Times New Roman"/>
          <w:b/>
          <w:sz w:val="24"/>
        </w:rPr>
        <w:t>3.2 Creator, influencer e celebridade digital</w:t>
      </w:r>
    </w:p>
    <w:p w14:paraId="2F90E52D">
      <w:pPr>
        <w:keepNext w:val="0"/>
        <w:spacing w:before="0" w:after="0" w:line="360" w:lineRule="auto"/>
        <w:ind w:firstLine="709"/>
        <w:jc w:val="both"/>
      </w:pPr>
      <w:r>
        <w:rPr>
          <w:rFonts w:ascii="Times New Roman" w:hAnsi="Times New Roman"/>
          <w:sz w:val="24"/>
        </w:rPr>
        <w:t>Creator e influencer são frequentemente usados como sinônimos, mas a literatura e as práticas de mercado permitem distinguir seus centros de gravidade. Em sentido analítico, creator pode ser associado à centralidade da criação: conteúdo, conhecimento, criatividade, expertise, formatos ou propriedade intelectual. Influencer, por sua vez, enfatiza capacidade de influenciar percepções, escolhas e comportamentos por meio de reputação, autoridade, confiança e vínculo com uma audiência. Essa distinção não implica exclusão mútua. Um creator pode também ocupar uma posição de influencer, e muitos influencers produzem conteúdo de forma continuada; a sobreposição, contudo, não torna as categorias equivalentes.</w:t>
      </w:r>
    </w:p>
    <w:p w14:paraId="4678AC5D">
      <w:pPr>
        <w:keepNext w:val="0"/>
        <w:spacing w:before="0" w:after="0" w:line="360" w:lineRule="auto"/>
        <w:ind w:firstLine="709"/>
        <w:jc w:val="both"/>
      </w:pPr>
      <w:r>
        <w:rPr>
          <w:rFonts w:ascii="Times New Roman" w:hAnsi="Times New Roman"/>
          <w:sz w:val="24"/>
        </w:rPr>
        <w:t>Abidin (2018) demonstra que a celebridade na internet assume múltiplas formas e não se limita a uma definição comercial de influencer. Hund (2023) enfatiza que a indústria da influência depende de performances de autenticidade produzidas dentro de um sistema profissionalizado, no qual visibilidade e confiança são convertidas em oportunidades econômicas. No Brasil, Karhawi (2017) mostra que a noção de influenciador digital resulta de uma trajetória histórica de profissionalização e diversificação de plataformas, o que torna inadequado reduzir a categoria a uma única mídia ou formato.</w:t>
      </w:r>
    </w:p>
    <w:p w14:paraId="0D211F8B">
      <w:pPr>
        <w:pStyle w:val="3"/>
        <w:keepNext/>
        <w:keepLines/>
        <w:spacing w:before="160" w:after="120"/>
        <w:jc w:val="left"/>
      </w:pPr>
      <w:r>
        <w:rPr>
          <w:rFonts w:ascii="Times New Roman" w:hAnsi="Times New Roman"/>
          <w:b/>
          <w:sz w:val="24"/>
        </w:rPr>
        <w:t>3.3 Trabalho criativo, visibilidade e profissionalização</w:t>
      </w:r>
    </w:p>
    <w:p w14:paraId="0E59AD1A">
      <w:pPr>
        <w:keepNext w:val="0"/>
        <w:spacing w:before="0" w:after="0" w:line="360" w:lineRule="auto"/>
        <w:ind w:firstLine="709"/>
        <w:jc w:val="both"/>
      </w:pPr>
      <w:r>
        <w:rPr>
          <w:rFonts w:ascii="Times New Roman" w:hAnsi="Times New Roman"/>
          <w:sz w:val="24"/>
        </w:rPr>
        <w:t xml:space="preserve">A economia da criação de conteúdo também é um campo de trabalho. Duffy (2017) evidencia o paradoxo do trabalho aspiracional: a promessa de autonomia, expressão pessoal e monetização pode coexistir com atividades não remuneradas, competição intensa, desigualdades e incerteza econômica. O creator não monetiza apenas um produto final; frequentemente precisa manter presença contínua, construir marca pessoal, negociar com plataformas e anunciantes, aprender métricas, gerenciar comunidade e adaptar-se a mudanças de algoritmo.</w:t>
      </w:r>
    </w:p>
    <w:p w14:paraId="1EA5B572">
      <w:pPr>
        <w:keepNext w:val="0"/>
        <w:spacing w:before="0" w:after="0" w:line="360" w:lineRule="auto"/>
        <w:ind w:firstLine="709"/>
        <w:jc w:val="both"/>
      </w:pPr>
      <w:r>
        <w:rPr>
          <w:rFonts w:ascii="Times New Roman" w:hAnsi="Times New Roman"/>
          <w:sz w:val="24"/>
        </w:rPr>
        <w:t>Karhawi (2024) propõe o conceito de trabalho de visibilidade para discutir como influenciadores dependem de sistemas algorítmicos e métricas de engajamento. A visibilidade não é um recurso dado, mas um resultado instável de práticas, regras de plataforma e processos de mensuração. Karhawi e Prazeres (2022) mostram, adicionalmente, que a pressão por desempenho e adaptação pode produzir exaustão algorítmica. Esses achados são relevantes para a taxonomia porque sustentam uma leitura em que "creator" não é tratado apenas como rótulo ocupacional, mas como posição situada em relações técnicas, econômicas e laborais.</w:t>
      </w:r>
    </w:p>
    <w:p w14:paraId="623B9D0F">
      <w:pPr>
        <w:pStyle w:val="3"/>
        <w:keepNext/>
        <w:keepLines/>
        <w:spacing w:before="160" w:after="120"/>
        <w:jc w:val="left"/>
      </w:pPr>
      <w:r>
        <w:rPr>
          <w:rFonts w:ascii="Times New Roman" w:hAnsi="Times New Roman"/>
          <w:b/>
          <w:sz w:val="24"/>
        </w:rPr>
        <w:t>3.4 Plataformas, intermediação e infraestrutura</w:t>
      </w:r>
    </w:p>
    <w:p w14:paraId="04EE6515">
      <w:pPr>
        <w:keepNext w:val="0"/>
        <w:spacing w:before="0" w:after="0" w:line="360" w:lineRule="auto"/>
        <w:ind w:firstLine="709"/>
        <w:jc w:val="both"/>
      </w:pPr>
      <w:r>
        <w:rPr>
          <w:rFonts w:ascii="Times New Roman" w:hAnsi="Times New Roman"/>
          <w:sz w:val="24"/>
        </w:rPr>
        <w:t>Plataformas digitais exercem funções simultâneas de distribuição, descoberta, hospedagem, recomendação, mensuração e monetização. Elas definem affordances, políticas de conteúdo, regras de acesso a programas de receita, critérios de visibilidade e instrumentos de análise. Paralelamente, agências, talent managers, creator agencies, marketplaces, affiliate networks, adtechs e martechs conectam os diferentes lados do mercado. O ecossistema é, portanto, marcado por intermediação múltipla e por assimetrias de informação e poder.</w:t>
      </w:r>
    </w:p>
    <w:p w14:paraId="0448E6F8">
      <w:pPr>
        <w:keepNext w:val="0"/>
        <w:spacing w:before="0" w:after="0" w:line="360" w:lineRule="auto"/>
        <w:ind w:firstLine="709"/>
        <w:jc w:val="both"/>
      </w:pPr>
      <w:r>
        <w:rPr>
          <w:rFonts w:ascii="Times New Roman" w:hAnsi="Times New Roman"/>
          <w:sz w:val="24"/>
        </w:rPr>
        <w:t>O mapa do IAB (2025b) é especialmente relevante por mapear etapas e agentes associados a campanhas com creators, incluindo seleção, contratação, aprovação, pagamento, mensuração e conformidade. A taxonomia proposta neste artigo separa, por isso, "intermediação e infraestrutura" das categorias referentes ao creator. A existência de um creator marketplace, por exemplo, não descreve um tipo de creator, mas um mecanismo institucional que conecta oferta e demanda de serviços criativos.</w:t>
      </w:r>
    </w:p>
    <w:p>
      <w:pPr>
        <w:spacing w:line="360" w:lineRule="auto" w:before="0" w:after="0"/>
        <w:ind w:firstLine="709"/>
        <w:jc w:val="both"/>
      </w:pPr>
      <w:r>
        <w:rPr>
          <w:rFonts w:ascii="Times New Roman" w:hAnsi="Times New Roman"/>
          <w:sz w:val="24"/>
        </w:rPr>
        <w:t xml:space="preserve">A contextualização brasileira também mobiliza o Mapa brasileiro da economia da criação de conteúdo da YOUPIX, que organiza plataformas, agências, empresas de tecnologia, consultorias e outros intermediários ativos no mercado nacional, em versão consultada atualizada em setembro de 2025 (YOUPIX, 2025). Como contraste setorial internacional, o Influencer Marketing Code of Conduct, versão 4, de ISBA e IMTB, estrutura boas práticas esperadas de marcas, agências de talento e de influência e creators, com ênfase em contratação, mensuração, disclosure e temas emergentes como influenciadores virtuais e inteligência artificial (ISBA; IMTB, 2024). Esses materiais reforçam a decisão de tratar intermediação e infraestrutura como dimensão própria do ecossistema, e não como uma espécie de creator.</w:t>
      </w:r>
    </w:p>
    <w:p w14:paraId="66A4D482">
      <w:pPr>
        <w:pStyle w:val="3"/>
        <w:keepNext/>
        <w:keepLines/>
        <w:spacing w:before="160" w:after="120"/>
        <w:jc w:val="left"/>
      </w:pPr>
      <w:r>
        <w:rPr>
          <w:rFonts w:ascii="Times New Roman" w:hAnsi="Times New Roman"/>
          <w:b/>
          <w:sz w:val="24"/>
        </w:rPr>
        <w:t>3.5 Monetização e creator entrepreneurship</w:t>
      </w:r>
    </w:p>
    <w:p w14:paraId="20E6D919">
      <w:pPr>
        <w:keepNext w:val="0"/>
        <w:spacing w:before="0" w:after="0" w:line="360" w:lineRule="auto"/>
        <w:ind w:firstLine="709"/>
        <w:jc w:val="both"/>
      </w:pPr>
      <w:r>
        <w:rPr>
          <w:rFonts w:ascii="Times New Roman" w:hAnsi="Times New Roman"/>
          <w:sz w:val="24"/>
        </w:rPr>
        <w:t xml:space="preserve">A monetização na economia da criação de conteúdo não depende exclusivamente de publicidade. Receitas podem provir de marcas, plataformas, audiência, comércio, produtos e serviços próprios ou propriedade intelectual. O creator pode receber fee por campanha, revenue share de plataformas, assinaturas, gifts, tipping, comissões de afiliação, receitas de live commerce, vendas de cursos, consultoria, licenciamento, royalties ou exploração de marcas próprias. Pesquisas e mapeamentos do mercado brasileiro, como Creators &amp; Negócios, mostram crescente interesse na profissionalização e sustentabilidade do creator como negócio (YOUPIX; BRUNCH, 2025).</w:t>
      </w:r>
    </w:p>
    <w:p w14:paraId="7BA7B0BF">
      <w:pPr>
        <w:keepNext w:val="0"/>
        <w:spacing w:before="0" w:after="0" w:line="360" w:lineRule="auto"/>
        <w:ind w:firstLine="709"/>
        <w:jc w:val="both"/>
      </w:pPr>
      <w:r>
        <w:rPr>
          <w:rFonts w:ascii="Times New Roman" w:hAnsi="Times New Roman"/>
          <w:sz w:val="24"/>
        </w:rPr>
        <w:t>Essa diversidade sustenta a categoria creator entrepreneur, entendida aqui como o agente que transforma conteúdo, conhecimento, audiência, comunidade, marca ou propriedade intelectual em empreendimento estruturado. O ponto central é que empreendedorismo não é um formato de conteúdo nem sinônimo de influência. É uma configuração de negócio que pode coexistir com diferentes formatos e relações comerciais.</w:t>
      </w:r>
    </w:p>
    <w:p>
      <w:pPr>
        <w:spacing w:line="360" w:lineRule="auto" w:before="0" w:after="0"/>
        <w:ind w:firstLine="709"/>
        <w:jc w:val="both"/>
      </w:pPr>
      <w:r>
        <w:rPr>
          <w:rFonts w:ascii="Times New Roman" w:hAnsi="Times New Roman"/>
          <w:sz w:val="24"/>
        </w:rPr>
        <w:t>A propriedade intelectual integra essa arquitetura de valor. Os materiais IP for Influencers, criados pelo European Union Intellectual Property Office (EUIPO) e pela Comissão Europeia no âmbito do Influencer Legal Hub, orientam creators quanto à proteção e à exploração de direitos autorais, marcas e desenhos, além do respeito aos direitos de terceiros (EUIPO; EUROPEAN COMMISSION, [s.d.]). Para a taxonomia, essa referência sustenta a inclusão de licenciamento, royalties, marcas, formatos e outros ativos intangíveis na dimensão de negócio e monetização, sem confundir propriedade intelectual com identidade profissional.</w:t>
      </w:r>
    </w:p>
    <w:p w14:paraId="4C770B48">
      <w:pPr>
        <w:pStyle w:val="3"/>
        <w:keepNext/>
        <w:keepLines/>
        <w:spacing w:before="160" w:after="120"/>
        <w:jc w:val="left"/>
      </w:pPr>
      <w:r>
        <w:rPr>
          <w:rFonts w:ascii="Times New Roman" w:hAnsi="Times New Roman"/>
          <w:b/>
          <w:sz w:val="24"/>
        </w:rPr>
        <w:t>3.6 Publicidade, afiliação e transparência comercial</w:t>
      </w:r>
    </w:p>
    <w:p w14:paraId="63B47BFC">
      <w:pPr>
        <w:keepNext w:val="0"/>
        <w:spacing w:before="0" w:after="0" w:line="360" w:lineRule="auto"/>
        <w:ind w:firstLine="709"/>
        <w:jc w:val="both"/>
      </w:pPr>
      <w:r>
        <w:rPr>
          <w:rFonts w:ascii="Times New Roman" w:hAnsi="Times New Roman"/>
          <w:sz w:val="24"/>
        </w:rPr>
        <w:t>A relação entre criação de conteúdo e publicidade exige separar aparência do conteúdo e natureza econômica da relação. Conteúdos visualmente semelhantes podem estar associados a situações distintas: recomendação espontânea, permuta, publicidade patrocinada, branded content, afiliação ou UGC contratado. O IAB Brasil e a Digital Favela (2024) destacam a importância de reconhecer quando há publicidade e de sinalizar adequadamente o conteúdo comercial. O CONAR atualizou em 2026 seu Guia de Marketing e Publicidade por Influenciadores Digitais, detalhando transparência, identificação publicitária, apresentação verdadeira, proteção a crianças e adolescentes e uso de inteligência artificial (CONAR, 2026).</w:t>
      </w:r>
    </w:p>
    <w:p w14:paraId="4BFAFF27">
      <w:pPr>
        <w:keepNext w:val="0"/>
        <w:spacing w:before="0" w:after="0" w:line="360" w:lineRule="auto"/>
        <w:ind w:firstLine="709"/>
        <w:jc w:val="both"/>
      </w:pPr>
      <w:r>
        <w:rPr>
          <w:rFonts w:ascii="Times New Roman" w:hAnsi="Times New Roman"/>
          <w:sz w:val="24"/>
        </w:rPr>
        <w:t>A FTC igualmente orienta que conexões materiais com marcas sejam divulgadas de forma clara, inclusive quando o benefício econômico não consiste em pagamento direto (FTC, 2019; 2023). Na União Europeia, o Influencer Legal Hub destaca que creators podem assumir posições jurídicas diferentes quando anunciam ou vendem produtos e serviços, reforçando a necessidade de distinguir identidade do agente e natureza da relação econômica (EUROPEAN COMMISSION, 2023).</w:t>
      </w:r>
    </w:p>
    <w:p w14:paraId="5FB82D2D">
      <w:pPr>
        <w:pStyle w:val="3"/>
        <w:keepNext/>
        <w:keepLines/>
        <w:spacing w:before="160" w:after="120"/>
        <w:jc w:val="left"/>
      </w:pPr>
      <w:r>
        <w:rPr>
          <w:rFonts w:ascii="Times New Roman" w:hAnsi="Times New Roman"/>
          <w:b/>
          <w:sz w:val="24"/>
        </w:rPr>
        <w:t>3.7 Inteligência artificial, conteúdo sintético e mensuração</w:t>
      </w:r>
    </w:p>
    <w:p w14:paraId="511920B3">
      <w:pPr>
        <w:keepNext w:val="0"/>
        <w:spacing w:before="0" w:after="0" w:line="360" w:lineRule="auto"/>
        <w:ind w:firstLine="709"/>
        <w:jc w:val="both"/>
      </w:pPr>
      <w:r>
        <w:rPr>
          <w:rFonts w:ascii="Times New Roman" w:hAnsi="Times New Roman"/>
          <w:sz w:val="24"/>
        </w:rPr>
        <w:t xml:space="preserve">A inteligência artificial acrescenta novas camadas à taxonomia. Ela pode atuar como ferramenta de planejamento, roteirização, edição, tradução, dublagem, geração de imagem, voz sintética, avatar ou digital twin. O IAB Brasil (2025b) discute oportunidades de escala e desafios de autenticidade na economia da criação de conteúdo, enquanto o IAB (2026b) propõe um framework de transparência baseado em risco e materialidade para conteúdos e interações com participação de IA. Assim, a IA não deve ser tratada apenas como um "novo tipo de creator"; em muitos casos, é tecnologia transversal às dimensões de criação, formato, identidade sintética, transparência e infraestrutura.</w:t>
      </w:r>
    </w:p>
    <w:p w14:paraId="52C36013">
      <w:pPr>
        <w:keepNext w:val="0"/>
        <w:spacing w:before="0" w:after="0" w:line="360" w:lineRule="auto"/>
        <w:ind w:firstLine="709"/>
        <w:jc w:val="both"/>
      </w:pPr>
      <w:r>
        <w:rPr>
          <w:rFonts w:ascii="Times New Roman" w:hAnsi="Times New Roman"/>
          <w:sz w:val="24"/>
        </w:rPr>
        <w:t>A mensuração também se torna dimensão crítica. O IAB (2026a) identifica fragmentação de métricas, dependência de proxies e dificuldades de integrar creator media aos modelos empresariais de planejamento e atribuição. A taxonomia deve, portanto, distinguir audiência, influência e conversão: grande audiência não garante influência; influência não garante ação; e ação não equivale automaticamente a receita atribuível.</w:t>
      </w:r>
    </w:p>
    <w:p w14:paraId="34B0DB29">
      <w:pPr>
        <w:pStyle w:val="2"/>
        <w:keepNext/>
        <w:keepLines/>
        <w:spacing w:before="240" w:after="120"/>
        <w:jc w:val="left"/>
      </w:pPr>
      <w:r>
        <w:rPr>
          <w:rFonts w:ascii="Times New Roman" w:hAnsi="Times New Roman"/>
          <w:b/>
          <w:sz w:val="24"/>
        </w:rPr>
        <w:t>4 METODOLOGIA</w:t>
      </w:r>
    </w:p>
    <w:p w14:paraId="7B1D7D25">
      <w:pPr>
        <w:pStyle w:val="3"/>
        <w:keepNext/>
        <w:keepLines/>
        <w:spacing w:before="160" w:after="120"/>
        <w:jc w:val="left"/>
      </w:pPr>
      <w:r>
        <w:rPr>
          <w:rFonts w:ascii="Times New Roman" w:hAnsi="Times New Roman"/>
          <w:b/>
          <w:sz w:val="24"/>
        </w:rPr>
        <w:t>4.1 Natureza e desenho da pesquisa</w:t>
      </w:r>
    </w:p>
    <w:p w14:paraId="05540089">
      <w:pPr>
        <w:keepNext w:val="0"/>
        <w:spacing w:before="0" w:after="0" w:line="360" w:lineRule="auto"/>
        <w:ind w:firstLine="709"/>
        <w:jc w:val="both"/>
      </w:pPr>
      <w:r>
        <w:rPr>
          <w:rFonts w:ascii="Times New Roman" w:hAnsi="Times New Roman"/>
          <w:sz w:val="24"/>
        </w:rPr>
        <w:t>A pesquisa é aplicada, pois busca produzir uma solução conceitual e editorial utilizável em contexto institucional; qualitativa, por privilegiar interpretação e sistematização de significados; bibliográfica, por mobilizar livros e artigos acadêmicos; documental, por examinar taxonomias, mapas setoriais, guias, pesquisas de mercado, documentos regulatórios e materiais institucionais; e analítico-comparativa, por confrontar definições e estruturas para identificar convergências, divergências, lacunas e sobreposições.</w:t>
      </w:r>
    </w:p>
    <w:p w14:paraId="3B688B31">
      <w:pPr>
        <w:pStyle w:val="3"/>
        <w:keepNext/>
        <w:keepLines/>
        <w:spacing w:before="160" w:after="120"/>
        <w:jc w:val="left"/>
      </w:pPr>
      <w:r>
        <w:rPr>
          <w:rFonts w:ascii="Times New Roman" w:hAnsi="Times New Roman"/>
          <w:b/>
          <w:sz w:val="24"/>
        </w:rPr>
        <w:t>4.2 Unidade de análise e corpus</w:t>
      </w:r>
    </w:p>
    <w:p w14:paraId="55CF1F4B">
      <w:pPr>
        <w:keepNext w:val="0"/>
        <w:spacing w:before="0" w:after="0" w:line="360" w:lineRule="auto"/>
        <w:ind w:firstLine="709"/>
        <w:jc w:val="both"/>
      </w:pPr>
      <w:r>
        <w:rPr>
          <w:rFonts w:ascii="Times New Roman" w:hAnsi="Times New Roman"/>
          <w:sz w:val="24"/>
        </w:rPr>
        <w:t xml:space="preserve">A unidade de análise é o ecossistema da economia da criação de conteúdo, compreendendo pessoas, organizações, plataformas, conteúdos, audiências, comunidades, marcas, agências, tecnologias, marketplaces, redes de afiliados, mecanismos de monetização, propriedade intelectual, dados e fluxos econômicos. O corpus não é tratado como amostra estatística; trata-se de corpus teórico-documental selecionado por autoridade, relevância conceitual e capacidade de representar diferentes perspectivas do campo.</w:t>
      </w:r>
    </w:p>
    <w:p>
      <w:pPr>
        <w:spacing w:line="360" w:lineRule="auto" w:before="0" w:after="0"/>
        <w:ind w:firstLine="709"/>
        <w:jc w:val="both"/>
      </w:pPr>
      <w:r>
        <w:rPr>
          <w:rFonts w:ascii="Times New Roman" w:hAnsi="Times New Roman"/>
          <w:sz w:val="24"/>
        </w:rPr>
        <w:t>Na contextualização brasileira, dados quantitativos de pesquisas setoriais são utilizados como evidência empírica descritiva para testar aderência terminológica e econômica dos conceitos, respeitando o escopo e o método de cada estudo. Esses indicadores não são tratados como uma amostra única do ecossistema nem como validação estatística da taxonomia. A data de corte documental desta versão é 16 de setembro de 2026; fontes de natureza regulatória, tecnológica ou mercadológica permanecem sujeitas a revisão em versões posteriores.</w:t>
      </w:r>
    </w:p>
    <w:p>
      <w:pPr>
        <w:jc w:val="both"/>
      </w:pPr>
      <w:r>
        <w:t xml:space="preserve">Regra de normalização entre o roteiro e o artigo. O roteiro editorial apresenta seis perguntas centrais da taxonomia e, em sua tabela operacional, desdobra "Negócio" e "Monetização" em linhas separadas. Nesta versão científica, os dois elementos permanecem analiticamente distintos, porém reunidos na dimensão E - Valor e sustentabilidade, preservando a lógica das seis perguntas sem suprimir a diferença entre ativo/modelo de negócio e fonte de receita. Essa decisão é uma normalização metodológica e editorial do roteiro, não uma exclusão de conteúdo.</w:t>
      </w:r>
    </w:p>
    <w:tbl>
      <w:tblPr>
        <w:tblStyle w:val="3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7"/>
        <w:gridCol w:w="2041"/>
        <w:gridCol w:w="3061"/>
        <w:gridCol w:w="3118"/>
      </w:tblGrid>
      <w:tr w14:paraId="3AB22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cantSplit/>
        </w:trPr>
        <w:tc>
          <w:tcPr>
            <w:tcW w:w="1247" w:type="dxa"/>
            <w:shd w:val="clear" w:color="auto" w:fill="D9E2F3"/>
            <w:tcMar>
              <w:top w:w="80" w:type="dxa"/>
              <w:left w:w="80" w:type="dxa"/>
              <w:bottom w:w="80" w:type="dxa"/>
              <w:right w:w="80" w:type="dxa"/>
            </w:tcMar>
            <w:vAlign w:val="center"/>
          </w:tcPr>
          <w:p w14:paraId="2AD7BBB5">
            <w:pPr>
              <w:spacing w:after="0" w:line="240" w:lineRule="auto"/>
              <w:jc w:val="center"/>
            </w:pPr>
            <w:r>
              <w:rPr>
                <w:rFonts w:ascii="Times New Roman" w:hAnsi="Times New Roman"/>
                <w:b/>
                <w:sz w:val="18"/>
              </w:rPr>
              <w:t>Nível</w:t>
            </w:r>
          </w:p>
        </w:tc>
        <w:tc>
          <w:tcPr>
            <w:tcW w:w="2041" w:type="dxa"/>
            <w:shd w:val="clear" w:color="auto" w:fill="D9E2F3"/>
            <w:tcMar>
              <w:top w:w="80" w:type="dxa"/>
              <w:left w:w="80" w:type="dxa"/>
              <w:bottom w:w="80" w:type="dxa"/>
              <w:right w:w="80" w:type="dxa"/>
            </w:tcMar>
            <w:vAlign w:val="center"/>
          </w:tcPr>
          <w:p w14:paraId="47D54BBB">
            <w:pPr>
              <w:spacing w:after="0" w:line="240" w:lineRule="auto"/>
              <w:jc w:val="center"/>
            </w:pPr>
            <w:r>
              <w:rPr>
                <w:rFonts w:ascii="Times New Roman" w:hAnsi="Times New Roman"/>
                <w:b/>
                <w:sz w:val="18"/>
              </w:rPr>
              <w:t>Categoria de evidência</w:t>
            </w:r>
          </w:p>
        </w:tc>
        <w:tc>
          <w:tcPr>
            <w:tcW w:w="3061" w:type="dxa"/>
            <w:shd w:val="clear" w:color="auto" w:fill="D9E2F3"/>
            <w:tcMar>
              <w:top w:w="80" w:type="dxa"/>
              <w:left w:w="80" w:type="dxa"/>
              <w:bottom w:w="80" w:type="dxa"/>
              <w:right w:w="80" w:type="dxa"/>
            </w:tcMar>
            <w:vAlign w:val="center"/>
          </w:tcPr>
          <w:p w14:paraId="241F83B5">
            <w:pPr>
              <w:spacing w:after="0" w:line="240" w:lineRule="auto"/>
              <w:jc w:val="center"/>
            </w:pPr>
            <w:r>
              <w:rPr>
                <w:rFonts w:ascii="Times New Roman" w:hAnsi="Times New Roman"/>
                <w:b/>
                <w:sz w:val="18"/>
              </w:rPr>
              <w:t>Função metodológica</w:t>
            </w:r>
          </w:p>
        </w:tc>
        <w:tc>
          <w:tcPr>
            <w:tcW w:w="3118" w:type="dxa"/>
            <w:shd w:val="clear" w:color="auto" w:fill="D9E2F3"/>
            <w:tcMar>
              <w:top w:w="80" w:type="dxa"/>
              <w:left w:w="80" w:type="dxa"/>
              <w:bottom w:w="80" w:type="dxa"/>
              <w:right w:w="80" w:type="dxa"/>
            </w:tcMar>
            <w:vAlign w:val="center"/>
          </w:tcPr>
          <w:p w14:paraId="26A32032">
            <w:pPr>
              <w:spacing w:after="0" w:line="240" w:lineRule="auto"/>
              <w:jc w:val="center"/>
            </w:pPr>
            <w:r>
              <w:rPr>
                <w:rFonts w:ascii="Times New Roman" w:hAnsi="Times New Roman"/>
                <w:b/>
                <w:sz w:val="18"/>
              </w:rPr>
              <w:t>Fontes representativas</w:t>
            </w:r>
          </w:p>
        </w:tc>
      </w:tr>
      <w:tr w14:paraId="3DED3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cantSplit/>
        </w:trPr>
        <w:tc>
          <w:tcPr>
            <w:tcW w:w="1247" w:type="dxa"/>
            <w:tcMar>
              <w:top w:w="80" w:type="dxa"/>
              <w:left w:w="80" w:type="dxa"/>
              <w:bottom w:w="80" w:type="dxa"/>
              <w:right w:w="80" w:type="dxa"/>
            </w:tcMar>
            <w:vAlign w:val="top"/>
          </w:tcPr>
          <w:p w14:paraId="149EEC43">
            <w:pPr>
              <w:spacing w:after="0" w:line="240" w:lineRule="auto"/>
              <w:jc w:val="left"/>
            </w:pPr>
            <w:r>
              <w:rPr>
                <w:rFonts w:ascii="Times New Roman" w:hAnsi="Times New Roman"/>
                <w:sz w:val="18"/>
              </w:rPr>
              <w:t>1</w:t>
            </w:r>
          </w:p>
        </w:tc>
        <w:tc>
          <w:tcPr>
            <w:tcW w:w="2041" w:type="dxa"/>
            <w:tcMar>
              <w:top w:w="80" w:type="dxa"/>
              <w:left w:w="80" w:type="dxa"/>
              <w:bottom w:w="80" w:type="dxa"/>
              <w:right w:w="80" w:type="dxa"/>
            </w:tcMar>
            <w:vAlign w:val="top"/>
          </w:tcPr>
          <w:p w14:paraId="7D22B5AC">
            <w:pPr>
              <w:spacing w:after="0" w:line="240" w:lineRule="auto"/>
              <w:jc w:val="left"/>
            </w:pPr>
            <w:r>
              <w:rPr>
                <w:rFonts w:ascii="Times New Roman" w:hAnsi="Times New Roman"/>
                <w:sz w:val="18"/>
              </w:rPr>
              <w:t>Referências estruturantes</w:t>
            </w:r>
          </w:p>
        </w:tc>
        <w:tc>
          <w:tcPr>
            <w:tcW w:w="3061" w:type="dxa"/>
            <w:tcMar>
              <w:top w:w="80" w:type="dxa"/>
              <w:left w:w="80" w:type="dxa"/>
              <w:bottom w:w="80" w:type="dxa"/>
              <w:right w:w="80" w:type="dxa"/>
            </w:tcMar>
            <w:vAlign w:val="top"/>
          </w:tcPr>
          <w:p w14:paraId="42A385EA">
            <w:pPr>
              <w:spacing w:after="0" w:line="240" w:lineRule="auto"/>
              <w:jc w:val="left"/>
            </w:pPr>
            <w:r>
              <w:rPr>
                <w:rFonts w:ascii="Times New Roman" w:hAnsi="Times New Roman"/>
                <w:sz w:val="18"/>
              </w:rPr>
              <w:t>Fornecer vocabulário e arquitetura inicial do ecossistema.</w:t>
            </w:r>
          </w:p>
        </w:tc>
        <w:tc>
          <w:tcPr>
            <w:tcW w:w="3118" w:type="dxa"/>
            <w:tcMar>
              <w:top w:w="80" w:type="dxa"/>
              <w:left w:w="80" w:type="dxa"/>
              <w:bottom w:w="80" w:type="dxa"/>
              <w:right w:w="80" w:type="dxa"/>
            </w:tcMar>
            <w:vAlign w:val="top"/>
          </w:tcPr>
          <w:p w14:paraId="64A5A8B7">
            <w:pPr>
              <w:spacing w:after="0" w:line="240" w:lineRule="auto"/>
              <w:jc w:val="left"/>
            </w:pPr>
            <w:r>
              <w:rPr>
                <w:rFonts w:ascii="Times New Roman" w:hAnsi="Times New Roman"/>
                <w:sz w:val="18"/>
              </w:rPr>
              <w:t>IAB US; IAB Brasil.</w:t>
            </w:r>
          </w:p>
        </w:tc>
      </w:tr>
      <w:tr w14:paraId="5E8A4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cantSplit/>
        </w:trPr>
        <w:tc>
          <w:tcPr>
            <w:tcW w:w="1247" w:type="dxa"/>
            <w:tcMar>
              <w:top w:w="80" w:type="dxa"/>
              <w:left w:w="80" w:type="dxa"/>
              <w:bottom w:w="80" w:type="dxa"/>
              <w:right w:w="80" w:type="dxa"/>
            </w:tcMar>
            <w:vAlign w:val="top"/>
          </w:tcPr>
          <w:p w14:paraId="54889E22">
            <w:pPr>
              <w:spacing w:after="0" w:line="240" w:lineRule="auto"/>
              <w:jc w:val="left"/>
            </w:pPr>
            <w:r>
              <w:rPr>
                <w:rFonts w:ascii="Times New Roman" w:hAnsi="Times New Roman"/>
                <w:sz w:val="18"/>
              </w:rPr>
              <w:t>2</w:t>
            </w:r>
          </w:p>
        </w:tc>
        <w:tc>
          <w:tcPr>
            <w:tcW w:w="2041" w:type="dxa"/>
            <w:tcMar>
              <w:top w:w="80" w:type="dxa"/>
              <w:left w:w="80" w:type="dxa"/>
              <w:bottom w:w="80" w:type="dxa"/>
              <w:right w:w="80" w:type="dxa"/>
            </w:tcMar>
            <w:vAlign w:val="top"/>
          </w:tcPr>
          <w:p w14:paraId="24B9682E">
            <w:pPr>
              <w:spacing w:after="0" w:line="240" w:lineRule="auto"/>
              <w:jc w:val="left"/>
            </w:pPr>
            <w:r>
              <w:rPr>
                <w:rFonts w:ascii="Times New Roman" w:hAnsi="Times New Roman"/>
                <w:sz w:val="18"/>
              </w:rPr>
              <w:t>Contextualização brasileira</w:t>
            </w:r>
          </w:p>
        </w:tc>
        <w:tc>
          <w:tcPr>
            <w:tcW w:w="3061" w:type="dxa"/>
            <w:tcMar>
              <w:top w:w="80" w:type="dxa"/>
              <w:left w:w="80" w:type="dxa"/>
              <w:bottom w:w="80" w:type="dxa"/>
              <w:right w:w="80" w:type="dxa"/>
            </w:tcMar>
            <w:vAlign w:val="top"/>
          </w:tcPr>
          <w:p w14:paraId="3AFCD2FA">
            <w:pPr>
              <w:spacing w:after="0" w:line="240" w:lineRule="auto"/>
              <w:jc w:val="left"/>
            </w:pPr>
            <w:r>
              <w:rPr>
                <w:rFonts w:ascii="Times New Roman" w:hAnsi="Times New Roman"/>
                <w:sz w:val="18"/>
              </w:rPr>
              <w:t>Testar aderência dos conceitos ao mercado e à linguagem nacional.</w:t>
            </w:r>
          </w:p>
        </w:tc>
        <w:tc>
          <w:tcPr>
            <w:tcW w:w="3118" w:type="dxa"/>
            <w:tcMar>
              <w:top w:w="80" w:type="dxa"/>
              <w:left w:w="80" w:type="dxa"/>
              <w:bottom w:w="80" w:type="dxa"/>
              <w:right w:w="80" w:type="dxa"/>
            </w:tcMar>
            <w:vAlign w:val="top"/>
          </w:tcPr>
          <w:p w14:paraId="051FBB22">
            <w:pPr>
              <w:spacing w:after="0" w:line="240" w:lineRule="auto"/>
              <w:jc w:val="left"/>
            </w:pPr>
            <w:r>
              <w:rPr>
                <w:rFonts w:ascii="Times New Roman" w:hAnsi="Times New Roman"/>
                <w:sz w:val="18"/>
              </w:rPr>
              <w:t>IAB Brasil/Offerwise; YOUPIX; Brunch; Pereira e Borges; Karhawi.</w:t>
            </w:r>
          </w:p>
        </w:tc>
      </w:tr>
      <w:tr w14:paraId="4BBDE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cantSplit/>
        </w:trPr>
        <w:tc>
          <w:tcPr>
            <w:tcW w:w="1247" w:type="dxa"/>
            <w:tcMar>
              <w:top w:w="80" w:type="dxa"/>
              <w:left w:w="80" w:type="dxa"/>
              <w:bottom w:w="80" w:type="dxa"/>
              <w:right w:w="80" w:type="dxa"/>
            </w:tcMar>
            <w:vAlign w:val="top"/>
          </w:tcPr>
          <w:p w14:paraId="117BB811">
            <w:pPr>
              <w:spacing w:after="0" w:line="240" w:lineRule="auto"/>
              <w:jc w:val="left"/>
            </w:pPr>
            <w:r>
              <w:rPr>
                <w:rFonts w:ascii="Times New Roman" w:hAnsi="Times New Roman"/>
                <w:sz w:val="18"/>
              </w:rPr>
              <w:t>3</w:t>
            </w:r>
          </w:p>
        </w:tc>
        <w:tc>
          <w:tcPr>
            <w:tcW w:w="2041" w:type="dxa"/>
            <w:tcMar>
              <w:top w:w="80" w:type="dxa"/>
              <w:left w:w="80" w:type="dxa"/>
              <w:bottom w:w="80" w:type="dxa"/>
              <w:right w:w="80" w:type="dxa"/>
            </w:tcMar>
            <w:vAlign w:val="top"/>
          </w:tcPr>
          <w:p w14:paraId="37041348">
            <w:pPr>
              <w:spacing w:after="0" w:line="240" w:lineRule="auto"/>
              <w:jc w:val="left"/>
            </w:pPr>
            <w:r>
              <w:rPr>
                <w:rFonts w:ascii="Times New Roman" w:hAnsi="Times New Roman"/>
                <w:sz w:val="18"/>
              </w:rPr>
              <w:t>Contraste institucional internacional</w:t>
            </w:r>
          </w:p>
        </w:tc>
        <w:tc>
          <w:tcPr>
            <w:tcW w:w="3061" w:type="dxa"/>
            <w:tcMar>
              <w:top w:w="80" w:type="dxa"/>
              <w:left w:w="80" w:type="dxa"/>
              <w:bottom w:w="80" w:type="dxa"/>
              <w:right w:w="80" w:type="dxa"/>
            </w:tcMar>
            <w:vAlign w:val="top"/>
          </w:tcPr>
          <w:p w14:paraId="0C39D831">
            <w:pPr>
              <w:spacing w:after="0" w:line="240" w:lineRule="auto"/>
              <w:jc w:val="left"/>
            </w:pPr>
            <w:r>
              <w:rPr>
                <w:rFonts w:ascii="Times New Roman" w:hAnsi="Times New Roman"/>
                <w:sz w:val="18"/>
              </w:rPr>
              <w:t>Comparar publicidade, relações econômicas, transparência e enquadramentos.</w:t>
            </w:r>
          </w:p>
        </w:tc>
        <w:tc>
          <w:tcPr>
            <w:tcW w:w="3118" w:type="dxa"/>
            <w:tcMar>
              <w:top w:w="80" w:type="dxa"/>
              <w:left w:w="80" w:type="dxa"/>
              <w:bottom w:w="80" w:type="dxa"/>
              <w:right w:w="80" w:type="dxa"/>
            </w:tcMar>
            <w:vAlign w:val="top"/>
          </w:tcPr>
          <w:p w14:paraId="068E8B25">
            <w:pPr>
              <w:spacing w:after="0" w:line="240" w:lineRule="auto"/>
              <w:jc w:val="left"/>
            </w:pPr>
            <w:r>
              <w:rPr>
                <w:rFonts w:ascii="Times New Roman" w:hAnsi="Times New Roman"/>
                <w:sz w:val="18"/>
              </w:rPr>
              <w:t>European Commission; FTC; CONAR; entidades setoriais.</w:t>
            </w:r>
          </w:p>
        </w:tc>
      </w:tr>
      <w:tr w14:paraId="0F332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cantSplit/>
        </w:trPr>
        <w:tc>
          <w:tcPr>
            <w:tcW w:w="1247" w:type="dxa"/>
            <w:tcMar>
              <w:top w:w="80" w:type="dxa"/>
              <w:left w:w="80" w:type="dxa"/>
              <w:bottom w:w="80" w:type="dxa"/>
              <w:right w:w="80" w:type="dxa"/>
            </w:tcMar>
            <w:vAlign w:val="top"/>
          </w:tcPr>
          <w:p w14:paraId="46570DEA">
            <w:pPr>
              <w:spacing w:after="0" w:line="240" w:lineRule="auto"/>
              <w:jc w:val="left"/>
              <w:keepNext w:val="1"/>
            </w:pPr>
            <w:r>
              <w:rPr>
                <w:rFonts w:ascii="Times New Roman" w:hAnsi="Times New Roman"/>
                <w:sz w:val="18"/>
              </w:rPr>
              <w:t>4</w:t>
            </w:r>
          </w:p>
        </w:tc>
        <w:tc>
          <w:tcPr>
            <w:tcW w:w="2041" w:type="dxa"/>
            <w:tcMar>
              <w:top w:w="80" w:type="dxa"/>
              <w:left w:w="80" w:type="dxa"/>
              <w:bottom w:w="80" w:type="dxa"/>
              <w:right w:w="80" w:type="dxa"/>
            </w:tcMar>
            <w:vAlign w:val="top"/>
          </w:tcPr>
          <w:p w14:paraId="611F339A">
            <w:pPr>
              <w:spacing w:after="0" w:line="240" w:lineRule="auto"/>
              <w:jc w:val="left"/>
              <w:keepNext w:val="1"/>
            </w:pPr>
            <w:r>
              <w:rPr>
                <w:rFonts w:ascii="Times New Roman" w:hAnsi="Times New Roman"/>
                <w:sz w:val="18"/>
              </w:rPr>
              <w:t>Fundamentação acadêmica</w:t>
            </w:r>
          </w:p>
        </w:tc>
        <w:tc>
          <w:tcPr>
            <w:tcW w:w="3061" w:type="dxa"/>
            <w:tcMar>
              <w:top w:w="80" w:type="dxa"/>
              <w:left w:w="80" w:type="dxa"/>
              <w:bottom w:w="80" w:type="dxa"/>
              <w:right w:w="80" w:type="dxa"/>
            </w:tcMar>
            <w:vAlign w:val="top"/>
          </w:tcPr>
          <w:p w14:paraId="3AE1D1E1">
            <w:pPr>
              <w:spacing w:after="0" w:line="240" w:lineRule="auto"/>
              <w:jc w:val="left"/>
              <w:keepNext w:val="1"/>
            </w:pPr>
            <w:r>
              <w:rPr>
                <w:rFonts w:ascii="Times New Roman" w:hAnsi="Times New Roman"/>
                <w:sz w:val="18"/>
              </w:rPr>
              <w:t>Aprofundar influência, trabalho, celebridade, plataformização e estruturas industriais.</w:t>
            </w:r>
          </w:p>
        </w:tc>
        <w:tc>
          <w:tcPr>
            <w:tcW w:w="3118" w:type="dxa"/>
            <w:tcMar>
              <w:top w:w="80" w:type="dxa"/>
              <w:left w:w="80" w:type="dxa"/>
              <w:bottom w:w="80" w:type="dxa"/>
              <w:right w:w="80" w:type="dxa"/>
            </w:tcMar>
            <w:vAlign w:val="top"/>
          </w:tcPr>
          <w:p w14:paraId="0902CEFD">
            <w:pPr>
              <w:spacing w:after="0" w:line="240" w:lineRule="auto"/>
              <w:jc w:val="left"/>
              <w:keepNext w:val="1"/>
            </w:pPr>
            <w:r>
              <w:rPr>
                <w:rFonts w:ascii="Times New Roman" w:hAnsi="Times New Roman"/>
                <w:sz w:val="18"/>
              </w:rPr>
              <w:t>Abidin; Cunningham e Craig; Duffy; Hund; Poell, Nieborg e Duffy; Karhawi.</w:t>
            </w:r>
          </w:p>
        </w:tc>
      </w:tr>
    </w:tbl>
    <w:p w14:paraId="49D26723">
      <w:pPr>
        <w:spacing w:after="0"/>
        <w:keepNext w:val="1"/>
      </w:pPr>
    </w:p>
    <w:p w14:paraId="288EEB63">
      <w:pPr>
        <w:keepNext/>
        <w:spacing w:after="60" w:before="60"/>
        <w:jc w:val="center"/>
      </w:pPr>
      <w:r>
        <w:rPr>
          <w:rFonts w:ascii="Times New Roman" w:hAnsi="Times New Roman"/>
          <w:i/>
          <w:sz w:val="20"/>
        </w:rPr>
        <w:t>Quadro 1 - Hierarquia analítica das evidências. Fonte: elaboração própria.</w:t>
      </w:r>
    </w:p>
    <w:p w14:paraId="4C9F5C2C">
      <w:pPr>
        <w:pStyle w:val="3"/>
        <w:keepNext/>
        <w:keepLines/>
        <w:spacing w:before="160" w:after="120"/>
        <w:jc w:val="left"/>
      </w:pPr>
      <w:r>
        <w:rPr>
          <w:rFonts w:ascii="Times New Roman" w:hAnsi="Times New Roman"/>
          <w:b/>
          <w:sz w:val="24"/>
        </w:rPr>
        <w:t>4.3 Critérios de inclusão e exclusão</w:t>
      </w:r>
    </w:p>
    <w:p w14:paraId="784291FA">
      <w:pPr>
        <w:keepNext w:val="0"/>
        <w:spacing w:before="0" w:after="0" w:line="360" w:lineRule="auto"/>
        <w:ind w:firstLine="709"/>
        <w:jc w:val="both"/>
      </w:pPr>
      <w:r>
        <w:rPr>
          <w:rFonts w:ascii="Times New Roman" w:hAnsi="Times New Roman"/>
          <w:sz w:val="24"/>
        </w:rPr>
        <w:t>Foram priorizadas fontes que atendem a pelo menos um dos seguintes critérios: autoridade institucional ou reconhecimento acadêmico/setorial; definição explícita de conceitos; apresentação de arquitetura taxonômica; descrição de relações econômicas ou modelos de monetização; dados relevantes para o mercado brasileiro; metodologia ou autoria identificável; e capacidade de contribuir para comparação ou validação conceitual.</w:t>
      </w:r>
    </w:p>
    <w:p w14:paraId="36EAE7C7">
      <w:pPr>
        <w:keepNext w:val="0"/>
        <w:spacing w:before="0" w:after="0" w:line="360" w:lineRule="auto"/>
        <w:ind w:firstLine="709"/>
        <w:jc w:val="both"/>
      </w:pPr>
      <w:r>
        <w:rPr>
          <w:rFonts w:ascii="Times New Roman" w:hAnsi="Times New Roman"/>
          <w:sz w:val="24"/>
        </w:rPr>
        <w:t>Receberam baixo peso ou foram excluídos conteúdos promocionais sem metodologia, listas de termos sem autoria, materiais que apenas reproduzem definições sem indicar origem, conteúdos comerciais cujo interesse particular comprometa sua função como referência conceitual e formulações automatizadas sem rastreabilidade de evidências.</w:t>
      </w:r>
    </w:p>
    <w:p w14:paraId="55768BD4">
      <w:pPr>
        <w:pStyle w:val="3"/>
        <w:keepNext/>
        <w:keepLines/>
        <w:spacing w:before="160" w:after="120"/>
        <w:jc w:val="left"/>
      </w:pPr>
      <w:r>
        <w:rPr>
          <w:rFonts w:ascii="Times New Roman" w:hAnsi="Times New Roman"/>
          <w:b/>
          <w:sz w:val="24"/>
        </w:rPr>
        <w:t>4.4 Protocolo de análise conceitual</w:t>
      </w:r>
    </w:p>
    <w:p w14:paraId="5AEFD50B">
      <w:pPr>
        <w:keepNext w:val="0"/>
        <w:spacing w:before="0" w:after="0" w:line="360" w:lineRule="auto"/>
        <w:ind w:firstLine="709"/>
        <w:jc w:val="both"/>
      </w:pPr>
      <w:r>
        <w:rPr>
          <w:rFonts w:ascii="Times New Roman" w:hAnsi="Times New Roman"/>
          <w:sz w:val="24"/>
        </w:rPr>
        <w:t>Cada termo central é submetido a cinco operações sucessivas. Primeiro, mapeiam-se definições e usos. Em seguida, comparam-se convergências e divergências. A terceira etapa contextualiza a expressão no mercado brasileiro. Na quarta, sistematiza-se o termo em uma dimensão taxonômica e explicitam-se suas relações com outros elementos. Por fim, propõe-se uma definição institucional sintética e tecnicamente fundamentada.</w:t>
      </w:r>
    </w:p>
    <w:p w14:paraId="61907D20">
      <w:pPr>
        <w:keepNext w:val="1"/>
      </w:pPr>
      <w:r>
        <w:drawing>
          <wp:inline distT="0" distB="0" distL="114300" distR="114300">
            <wp:extent cx="5759450" cy="1107440"/>
            <wp:effectExtent l="0" t="0" r="12700" b="165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8"/>
                    <a:stretch>
                      <a:fillRect/>
                    </a:stretch>
                  </pic:blipFill>
                  <pic:spPr>
                    <a:xfrm>
                      <a:off x="0" y="0"/>
                      <a:ext cx="5760000" cy="1107784"/>
                    </a:xfrm>
                    <a:prstGeom prst="rect">
                      <a:avLst/>
                    </a:prstGeom>
                  </pic:spPr>
                </pic:pic>
              </a:graphicData>
            </a:graphic>
          </wp:inline>
        </w:drawing>
      </w:r>
    </w:p>
    <w:p w14:paraId="6A29C3AB">
      <w:pPr>
        <w:keepNext/>
        <w:spacing w:after="60" w:before="60"/>
        <w:jc w:val="center"/>
      </w:pPr>
      <w:r>
        <w:rPr>
          <w:rFonts w:ascii="Times New Roman" w:hAnsi="Times New Roman"/>
          <w:i/>
          <w:sz w:val="20"/>
        </w:rPr>
        <w:t>Figura 1 - Protocolo metodológico: mapear, comparar, contextualizar, sistematizar e propor. Fonte: elaboração própria a partir do Plano Mestre da pesquisa.</w:t>
      </w:r>
    </w:p>
    <w:p w14:paraId="734325C8">
      <w:pPr>
        <w:pStyle w:val="3"/>
        <w:keepNext/>
        <w:keepLines/>
        <w:spacing w:before="160" w:after="120"/>
        <w:jc w:val="left"/>
      </w:pPr>
      <w:r>
        <w:rPr>
          <w:rFonts w:ascii="Times New Roman" w:hAnsi="Times New Roman"/>
          <w:b/>
          <w:sz w:val="24"/>
        </w:rPr>
        <w:t>4.5 Ficha de decisão conceitual</w:t>
      </w:r>
    </w:p>
    <w:p w14:paraId="19E6469F">
      <w:pPr>
        <w:keepNext w:val="0"/>
        <w:spacing w:before="0" w:after="0" w:line="360" w:lineRule="auto"/>
        <w:ind w:firstLine="709"/>
        <w:jc w:val="both"/>
      </w:pPr>
      <w:r>
        <w:rPr>
          <w:rFonts w:ascii="Times New Roman" w:hAnsi="Times New Roman"/>
          <w:sz w:val="24"/>
        </w:rPr>
        <w:t xml:space="preserve">Para manter auditabilidade, cada conceito deve possuir ficha contendo: termo analisado; termo original; dimensão principal; definições encontradas; fontes; convergências; divergências; uso brasileiro; problema taxonômico; posição recomendada; definição proposta; e termos com os quais não deve ser confundido. Essa estrutura permite reconstruir o caminho entre evidência e redação final e reduz o risco de definições ad hoc.</w:t>
      </w:r>
    </w:p>
    <w:p w14:paraId="207F53E6">
      <w:pPr>
        <w:pStyle w:val="3"/>
        <w:keepNext/>
        <w:keepLines/>
        <w:spacing w:before="160" w:after="120"/>
        <w:jc w:val="left"/>
      </w:pPr>
      <w:r>
        <w:rPr>
          <w:rFonts w:ascii="Times New Roman" w:hAnsi="Times New Roman"/>
          <w:b/>
          <w:sz w:val="24"/>
        </w:rPr>
        <w:t>4.6 Critérios de qualidade</w:t>
      </w:r>
    </w:p>
    <w:p w14:paraId="325534B4">
      <w:pPr>
        <w:pStyle w:val="34"/>
        <w:spacing w:line="360" w:lineRule="auto"/>
        <w:ind w:left="709" w:hanging="283"/>
        <w:jc w:val="both"/>
      </w:pPr>
      <w:r>
        <w:rPr>
          <w:rFonts w:ascii="Times New Roman" w:hAnsi="Times New Roman"/>
          <w:sz w:val="24"/>
        </w:rPr>
        <w:t>Rastreabilidade: toda afirmação conceitual relevante deve poder ser associada a fontes identificadas.</w:t>
      </w:r>
    </w:p>
    <w:p w14:paraId="0D925891">
      <w:pPr>
        <w:pStyle w:val="34"/>
        <w:spacing w:line="360" w:lineRule="auto"/>
        <w:ind w:left="709" w:hanging="283"/>
        <w:jc w:val="both"/>
      </w:pPr>
      <w:r>
        <w:rPr>
          <w:rFonts w:ascii="Times New Roman" w:hAnsi="Times New Roman"/>
          <w:sz w:val="24"/>
        </w:rPr>
        <w:t>Triangulação: conceitos centrais não devem depender exclusivamente de uma única fonte comercial ou institucional.</w:t>
      </w:r>
    </w:p>
    <w:p w14:paraId="4283E2E2">
      <w:pPr>
        <w:pStyle w:val="34"/>
        <w:spacing w:line="360" w:lineRule="auto"/>
        <w:ind w:left="709" w:hanging="283"/>
        <w:jc w:val="both"/>
      </w:pPr>
      <w:r>
        <w:rPr>
          <w:rFonts w:ascii="Times New Roman" w:hAnsi="Times New Roman"/>
          <w:sz w:val="24"/>
        </w:rPr>
        <w:t>Coerência dimensional: categorias de naturezas diferentes não devem ser tratadas como equivalentes.</w:t>
      </w:r>
    </w:p>
    <w:p w14:paraId="374C70B9">
      <w:pPr>
        <w:pStyle w:val="34"/>
        <w:spacing w:line="360" w:lineRule="auto"/>
        <w:ind w:left="709" w:hanging="283"/>
        <w:jc w:val="both"/>
      </w:pPr>
      <w:r>
        <w:rPr>
          <w:rFonts w:ascii="Times New Roman" w:hAnsi="Times New Roman"/>
          <w:sz w:val="24"/>
        </w:rPr>
        <w:t>Contextualização brasileira: terminologia importada deve ser testada contra usos e relações observáveis no mercado nacional.</w:t>
      </w:r>
    </w:p>
    <w:p w14:paraId="4A2D24C9">
      <w:pPr>
        <w:pStyle w:val="34"/>
        <w:spacing w:line="360" w:lineRule="auto"/>
        <w:ind w:left="709" w:hanging="283"/>
        <w:jc w:val="both"/>
      </w:pPr>
      <w:r>
        <w:rPr>
          <w:rFonts w:ascii="Times New Roman" w:hAnsi="Times New Roman"/>
          <w:sz w:val="24"/>
        </w:rPr>
        <w:t>Atualidade: documentos sujeitos a rápida obsolescência tecnológica ou regulatória devem ser datados e revistos antes da publicação.</w:t>
      </w:r>
    </w:p>
    <w:p w14:paraId="49F46EA6">
      <w:pPr>
        <w:pStyle w:val="34"/>
        <w:spacing w:line="360" w:lineRule="auto"/>
        <w:ind w:left="709" w:hanging="283"/>
        <w:jc w:val="both"/>
      </w:pPr>
      <w:r>
        <w:rPr>
          <w:rFonts w:ascii="Times New Roman" w:hAnsi="Times New Roman"/>
          <w:sz w:val="24"/>
        </w:rPr>
        <w:t>Clareza: a formulação final deve ser compreensível para leitores não especialistas sem perder precisão técnica.</w:t>
      </w:r>
    </w:p>
    <w:p w14:paraId="4D98000F">
      <w:pPr>
        <w:pStyle w:val="34"/>
        <w:spacing w:line="360" w:lineRule="auto"/>
        <w:ind w:left="709" w:hanging="283"/>
        <w:jc w:val="both"/>
      </w:pPr>
      <w:r>
        <w:rPr>
          <w:rFonts w:ascii="Times New Roman" w:hAnsi="Times New Roman"/>
          <w:sz w:val="24"/>
        </w:rPr>
        <w:t>Atualizabilidade: a taxonomia deve permitir inclusão de novas formas de atuação sem exigir reconstrução integral do modelo.</w:t>
      </w:r>
    </w:p>
    <w:p w14:paraId="7577D83C">
      <w:pPr>
        <w:pStyle w:val="2"/>
        <w:keepNext/>
        <w:keepLines/>
        <w:spacing w:before="240" w:after="120"/>
        <w:jc w:val="left"/>
      </w:pPr>
      <w:r>
        <w:rPr>
          <w:rFonts w:ascii="Times New Roman" w:hAnsi="Times New Roman"/>
          <w:b/>
          <w:sz w:val="24"/>
        </w:rPr>
        <w:t>5 RESULTADOS: TAXONOMIA BRASILEIRA MULTIDIMENSIONAL</w:t>
      </w:r>
    </w:p>
    <w:p w14:paraId="06A5FF08">
      <w:pPr>
        <w:pStyle w:val="3"/>
        <w:keepNext/>
        <w:keepLines/>
        <w:spacing w:before="160" w:after="120"/>
        <w:jc w:val="left"/>
      </w:pPr>
      <w:r>
        <w:rPr>
          <w:rFonts w:ascii="Times New Roman" w:hAnsi="Times New Roman"/>
          <w:b/>
          <w:sz w:val="24"/>
        </w:rPr>
        <w:t>5.1 Por que a taxonomia plana é insuficiente</w:t>
      </w:r>
    </w:p>
    <w:p w14:paraId="51EC4B82">
      <w:pPr>
        <w:keepNext w:val="0"/>
        <w:spacing w:before="0" w:after="0" w:line="360" w:lineRule="auto"/>
        <w:ind w:firstLine="709"/>
        <w:jc w:val="both"/>
      </w:pPr>
      <w:r>
        <w:rPr>
          <w:rFonts w:ascii="Times New Roman" w:hAnsi="Times New Roman"/>
          <w:sz w:val="24"/>
        </w:rPr>
        <w:t xml:space="preserve">O principal achado da análise comparada sustenta a proposição de que parte importante do vocabulário da economia da criação de conteúdo responde a perguntas diferentes. Uma taxonomia plana pressupõe que todas as categorias disputam a mesma posição classificatória. O exame comparado das fontes oferece suporte para uma organização alternativa. "Creator" e "influencer" referem-se a identidades ou posições; "streamer" e "podcaster" enfatizam formato; "afiliado" enfatiza relação econômica e mecanismo de remuneração; "brand ambassador" enfatiza duração e natureza da relação com a marca; "creator marketplace" é infraestrutura de intermediação; e "revenue share" é mecanismo de monetização.</w:t>
      </w:r>
    </w:p>
    <w:p w14:paraId="086D9E88">
      <w:pPr>
        <w:keepNext w:val="0"/>
        <w:spacing w:before="0" w:after="0" w:line="360" w:lineRule="auto"/>
        <w:ind w:firstLine="709"/>
        <w:jc w:val="both"/>
      </w:pPr>
      <w:r>
        <w:rPr>
          <w:rFonts w:ascii="Times New Roman" w:hAnsi="Times New Roman"/>
          <w:sz w:val="24"/>
        </w:rPr>
        <w:t>Assim, a classificação deve permitir múltiplos atributos simultâneos. Essa propriedade é especialmente importante porque a carreira de um creator pode combinar produção de conteúdo, influência, empreendedorismo, afiliação, patrocínio, venda direta e propriedade intelectual. A sobreposição deixa de ser vista como ruído e passa a ser tratada como característica estrutural do ecossistema.</w:t>
      </w:r>
    </w:p>
    <w:p w14:paraId="2EF9122C">
      <w:pPr>
        <w:pStyle w:val="3"/>
        <w:keepNext/>
        <w:keepLines/>
        <w:spacing w:before="160" w:after="120"/>
        <w:jc w:val="left"/>
      </w:pPr>
      <w:r>
        <w:rPr>
          <w:rFonts w:ascii="Times New Roman" w:hAnsi="Times New Roman"/>
          <w:b/>
          <w:sz w:val="24"/>
        </w:rPr>
        <w:t>5.2 As seis dimensões</w:t>
      </w:r>
    </w:p>
    <w:p w14:paraId="1BBEA58E">
      <w:pPr>
        <w:keepNext w:val="1"/>
      </w:pPr>
      <w:r>
        <w:drawing>
          <wp:inline distT="0" distB="0" distL="114300" distR="114300">
            <wp:extent cx="5219700" cy="3622040"/>
            <wp:effectExtent l="0" t="0" r="0" b="165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9"/>
                    <a:stretch>
                      <a:fillRect/>
                    </a:stretch>
                  </pic:blipFill>
                  <pic:spPr>
                    <a:xfrm>
                      <a:off x="0" y="0"/>
                      <a:ext cx="5220000" cy="3622440"/>
                    </a:xfrm>
                    <a:prstGeom prst="rect">
                      <a:avLst/>
                    </a:prstGeom>
                  </pic:spPr>
                </pic:pic>
              </a:graphicData>
            </a:graphic>
          </wp:inline>
        </w:drawing>
      </w:r>
    </w:p>
    <w:p w14:paraId="6D3E3BEF">
      <w:pPr>
        <w:keepNext/>
        <w:spacing w:after="60" w:before="60"/>
        <w:jc w:val="center"/>
      </w:pPr>
      <w:r>
        <w:rPr>
          <w:rFonts w:ascii="Times New Roman" w:hAnsi="Times New Roman"/>
          <w:i/>
          <w:sz w:val="20"/>
        </w:rPr>
        <w:t xml:space="preserve">Figura 2 - Taxonomia Brasileira Multidimensional da economia da criação de conteúdo: seis dimensões analíticas. Fonte: elaboração própria.</w:t>
      </w:r>
    </w:p>
    <w:tbl>
      <w:tblPr>
        <w:tblStyle w:val="3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1"/>
        <w:gridCol w:w="1701"/>
        <w:gridCol w:w="2835"/>
        <w:gridCol w:w="2835"/>
      </w:tblGrid>
      <w:tr w14:paraId="1CFF8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cantSplit/>
        </w:trPr>
        <w:tc>
          <w:tcPr>
            <w:tcW w:w="1701" w:type="dxa"/>
            <w:shd w:val="clear" w:color="auto" w:fill="D9E2F3"/>
            <w:tcMar>
              <w:top w:w="80" w:type="dxa"/>
              <w:left w:w="80" w:type="dxa"/>
              <w:bottom w:w="80" w:type="dxa"/>
              <w:right w:w="80" w:type="dxa"/>
            </w:tcMar>
            <w:vAlign w:val="center"/>
          </w:tcPr>
          <w:p w14:paraId="7B4DD01A">
            <w:pPr>
              <w:spacing w:after="0" w:line="240" w:lineRule="auto"/>
              <w:jc w:val="center"/>
            </w:pPr>
            <w:r>
              <w:rPr>
                <w:rFonts w:ascii="Times New Roman" w:hAnsi="Times New Roman"/>
                <w:b/>
                <w:sz w:val="18"/>
              </w:rPr>
              <w:t>Dimensão</w:t>
            </w:r>
          </w:p>
        </w:tc>
        <w:tc>
          <w:tcPr>
            <w:tcW w:w="1701" w:type="dxa"/>
            <w:shd w:val="clear" w:color="auto" w:fill="D9E2F3"/>
            <w:tcMar>
              <w:top w:w="80" w:type="dxa"/>
              <w:left w:w="80" w:type="dxa"/>
              <w:bottom w:w="80" w:type="dxa"/>
              <w:right w:w="80" w:type="dxa"/>
            </w:tcMar>
            <w:vAlign w:val="center"/>
          </w:tcPr>
          <w:p w14:paraId="4B0F7455">
            <w:pPr>
              <w:spacing w:after="0" w:line="240" w:lineRule="auto"/>
              <w:jc w:val="center"/>
            </w:pPr>
            <w:r>
              <w:rPr>
                <w:rFonts w:ascii="Times New Roman" w:hAnsi="Times New Roman"/>
                <w:b/>
                <w:sz w:val="18"/>
              </w:rPr>
              <w:t>Pergunta central</w:t>
            </w:r>
          </w:p>
        </w:tc>
        <w:tc>
          <w:tcPr>
            <w:tcW w:w="2835" w:type="dxa"/>
            <w:shd w:val="clear" w:color="auto" w:fill="D9E2F3"/>
            <w:tcMar>
              <w:top w:w="80" w:type="dxa"/>
              <w:left w:w="80" w:type="dxa"/>
              <w:bottom w:w="80" w:type="dxa"/>
              <w:right w:w="80" w:type="dxa"/>
            </w:tcMar>
            <w:vAlign w:val="center"/>
          </w:tcPr>
          <w:p w14:paraId="6ACDB253">
            <w:pPr>
              <w:spacing w:after="0" w:line="240" w:lineRule="auto"/>
              <w:jc w:val="center"/>
            </w:pPr>
            <w:r>
              <w:rPr>
                <w:rFonts w:ascii="Times New Roman" w:hAnsi="Times New Roman"/>
                <w:b/>
                <w:sz w:val="18"/>
              </w:rPr>
              <w:t>Objeto</w:t>
            </w:r>
          </w:p>
        </w:tc>
        <w:tc>
          <w:tcPr>
            <w:tcW w:w="2835" w:type="dxa"/>
            <w:shd w:val="clear" w:color="auto" w:fill="D9E2F3"/>
            <w:tcMar>
              <w:top w:w="80" w:type="dxa"/>
              <w:left w:w="80" w:type="dxa"/>
              <w:bottom w:w="80" w:type="dxa"/>
              <w:right w:w="80" w:type="dxa"/>
            </w:tcMar>
            <w:vAlign w:val="center"/>
          </w:tcPr>
          <w:p w14:paraId="6CEB1FD4">
            <w:pPr>
              <w:spacing w:after="0" w:line="240" w:lineRule="auto"/>
              <w:jc w:val="center"/>
            </w:pPr>
            <w:r>
              <w:rPr>
                <w:rFonts w:ascii="Times New Roman" w:hAnsi="Times New Roman"/>
                <w:b/>
                <w:sz w:val="18"/>
              </w:rPr>
              <w:t>Exemplos</w:t>
            </w:r>
          </w:p>
        </w:tc>
      </w:tr>
      <w:tr w14:paraId="67264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cantSplit/>
        </w:trPr>
        <w:tc>
          <w:tcPr>
            <w:tcW w:w="1701" w:type="dxa"/>
            <w:tcMar>
              <w:top w:w="80" w:type="dxa"/>
              <w:left w:w="80" w:type="dxa"/>
              <w:bottom w:w="80" w:type="dxa"/>
              <w:right w:w="80" w:type="dxa"/>
            </w:tcMar>
            <w:vAlign w:val="top"/>
          </w:tcPr>
          <w:p w14:paraId="30B6FC93">
            <w:pPr>
              <w:spacing w:after="0" w:line="240" w:lineRule="auto"/>
              <w:jc w:val="left"/>
            </w:pPr>
            <w:r>
              <w:rPr>
                <w:rFonts w:ascii="Times New Roman" w:hAnsi="Times New Roman"/>
                <w:sz w:val="18"/>
              </w:rPr>
              <w:t xml:space="preserve">A - Identidade e presença</w:t>
            </w:r>
          </w:p>
        </w:tc>
        <w:tc>
          <w:tcPr>
            <w:tcW w:w="1701" w:type="dxa"/>
            <w:tcMar>
              <w:top w:w="80" w:type="dxa"/>
              <w:left w:w="80" w:type="dxa"/>
              <w:bottom w:w="80" w:type="dxa"/>
              <w:right w:w="80" w:type="dxa"/>
            </w:tcMar>
            <w:vAlign w:val="top"/>
          </w:tcPr>
          <w:p w14:paraId="2E1A15E3">
            <w:pPr>
              <w:spacing w:after="0" w:line="240" w:lineRule="auto"/>
              <w:jc w:val="left"/>
            </w:pPr>
            <w:r>
              <w:rPr>
                <w:rFonts w:ascii="Times New Roman" w:hAnsi="Times New Roman"/>
                <w:sz w:val="18"/>
              </w:rPr>
              <w:t>Quem é?</w:t>
            </w:r>
          </w:p>
        </w:tc>
        <w:tc>
          <w:tcPr>
            <w:tcW w:w="2835" w:type="dxa"/>
            <w:tcMar>
              <w:top w:w="80" w:type="dxa"/>
              <w:left w:w="80" w:type="dxa"/>
              <w:bottom w:w="80" w:type="dxa"/>
              <w:right w:w="80" w:type="dxa"/>
            </w:tcMar>
            <w:vAlign w:val="top"/>
          </w:tcPr>
          <w:p w14:paraId="41E91EBF">
            <w:pPr>
              <w:spacing w:after="0" w:line="240" w:lineRule="auto"/>
              <w:jc w:val="left"/>
            </w:pPr>
            <w:r>
              <w:rPr>
                <w:rFonts w:ascii="Times New Roman" w:hAnsi="Times New Roman"/>
                <w:sz w:val="18"/>
              </w:rPr>
              <w:t>Natureza ou identidade funcional predominante do participante.</w:t>
            </w:r>
          </w:p>
        </w:tc>
        <w:tc>
          <w:tcPr>
            <w:tcW w:w="2835" w:type="dxa"/>
            <w:tcMar>
              <w:top w:w="80" w:type="dxa"/>
              <w:left w:w="80" w:type="dxa"/>
              <w:bottom w:w="80" w:type="dxa"/>
              <w:right w:w="80" w:type="dxa"/>
            </w:tcMar>
            <w:vAlign w:val="top"/>
          </w:tcPr>
          <w:p w14:paraId="45E2017B">
            <w:pPr>
              <w:spacing w:after="0" w:line="240" w:lineRule="auto"/>
              <w:jc w:val="left"/>
            </w:pPr>
            <w:r>
              <w:rPr>
                <w:rFonts w:ascii="Times New Roman" w:hAnsi="Times New Roman"/>
                <w:sz w:val="18"/>
              </w:rPr>
              <w:t>creator; influencer; KOL; virtual influencer.</w:t>
            </w:r>
          </w:p>
        </w:tc>
      </w:tr>
      <w:tr w14:paraId="0AF4A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cantSplit/>
        </w:trPr>
        <w:tc>
          <w:tcPr>
            <w:tcW w:w="1701" w:type="dxa"/>
            <w:tcMar>
              <w:top w:w="80" w:type="dxa"/>
              <w:left w:w="80" w:type="dxa"/>
              <w:bottom w:w="80" w:type="dxa"/>
              <w:right w:w="80" w:type="dxa"/>
            </w:tcMar>
            <w:vAlign w:val="top"/>
          </w:tcPr>
          <w:p w14:paraId="4A0714BC">
            <w:pPr>
              <w:spacing w:after="0" w:line="240" w:lineRule="auto"/>
              <w:jc w:val="left"/>
            </w:pPr>
            <w:r>
              <w:rPr>
                <w:rFonts w:ascii="Times New Roman" w:hAnsi="Times New Roman"/>
                <w:sz w:val="18"/>
              </w:rPr>
              <w:t xml:space="preserve">B - Expressão e circulação</w:t>
            </w:r>
          </w:p>
        </w:tc>
        <w:tc>
          <w:tcPr>
            <w:tcW w:w="1701" w:type="dxa"/>
            <w:tcMar>
              <w:top w:w="80" w:type="dxa"/>
              <w:left w:w="80" w:type="dxa"/>
              <w:bottom w:w="80" w:type="dxa"/>
              <w:right w:w="80" w:type="dxa"/>
            </w:tcMar>
            <w:vAlign w:val="top"/>
          </w:tcPr>
          <w:p w14:paraId="4650238E">
            <w:pPr>
              <w:spacing w:after="0" w:line="240" w:lineRule="auto"/>
              <w:jc w:val="left"/>
            </w:pPr>
            <w:r>
              <w:rPr>
                <w:rFonts w:ascii="Times New Roman" w:hAnsi="Times New Roman"/>
                <w:sz w:val="18"/>
              </w:rPr>
              <w:t>Como e onde atua?</w:t>
            </w:r>
          </w:p>
        </w:tc>
        <w:tc>
          <w:tcPr>
            <w:tcW w:w="2835" w:type="dxa"/>
            <w:tcMar>
              <w:top w:w="80" w:type="dxa"/>
              <w:left w:w="80" w:type="dxa"/>
              <w:bottom w:w="80" w:type="dxa"/>
              <w:right w:w="80" w:type="dxa"/>
            </w:tcMar>
            <w:vAlign w:val="top"/>
          </w:tcPr>
          <w:p w14:paraId="6205627F">
            <w:pPr>
              <w:spacing w:after="0" w:line="240" w:lineRule="auto"/>
              <w:jc w:val="left"/>
            </w:pPr>
            <w:r>
              <w:rPr>
                <w:rFonts w:ascii="Times New Roman" w:hAnsi="Times New Roman"/>
                <w:sz w:val="18"/>
              </w:rPr>
              <w:t>Modalidade de criação e ambiente de distribuição.</w:t>
            </w:r>
          </w:p>
        </w:tc>
        <w:tc>
          <w:tcPr>
            <w:tcW w:w="2835" w:type="dxa"/>
            <w:tcMar>
              <w:top w:w="80" w:type="dxa"/>
              <w:left w:w="80" w:type="dxa"/>
              <w:bottom w:w="80" w:type="dxa"/>
              <w:right w:w="80" w:type="dxa"/>
            </w:tcMar>
            <w:vAlign w:val="top"/>
          </w:tcPr>
          <w:p w14:paraId="11A8DEFB">
            <w:pPr>
              <w:spacing w:after="0" w:line="240" w:lineRule="auto"/>
              <w:jc w:val="left"/>
            </w:pPr>
            <w:r>
              <w:rPr>
                <w:rFonts w:ascii="Times New Roman" w:hAnsi="Times New Roman"/>
                <w:sz w:val="18"/>
              </w:rPr>
              <w:t>vídeo; live; podcast; newsletter; plataformas sociais.</w:t>
            </w:r>
          </w:p>
        </w:tc>
      </w:tr>
      <w:tr w14:paraId="4BC2D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cantSplit/>
        </w:trPr>
        <w:tc>
          <w:tcPr>
            <w:tcW w:w="1701" w:type="dxa"/>
            <w:tcMar>
              <w:top w:w="80" w:type="dxa"/>
              <w:left w:w="80" w:type="dxa"/>
              <w:bottom w:w="80" w:type="dxa"/>
              <w:right w:w="80" w:type="dxa"/>
            </w:tcMar>
            <w:vAlign w:val="top"/>
          </w:tcPr>
          <w:p w14:paraId="59B1A2D5">
            <w:pPr>
              <w:spacing w:after="0" w:line="240" w:lineRule="auto"/>
              <w:jc w:val="left"/>
            </w:pPr>
            <w:r>
              <w:rPr>
                <w:rFonts w:ascii="Times New Roman" w:hAnsi="Times New Roman"/>
                <w:sz w:val="18"/>
              </w:rPr>
              <w:t xml:space="preserve">C - Atuação e contribuição</w:t>
            </w:r>
          </w:p>
        </w:tc>
        <w:tc>
          <w:tcPr>
            <w:tcW w:w="1701" w:type="dxa"/>
            <w:tcMar>
              <w:top w:w="80" w:type="dxa"/>
              <w:left w:w="80" w:type="dxa"/>
              <w:bottom w:w="80" w:type="dxa"/>
              <w:right w:w="80" w:type="dxa"/>
            </w:tcMar>
            <w:vAlign w:val="top"/>
          </w:tcPr>
          <w:p w14:paraId="14FE8DF5">
            <w:pPr>
              <w:spacing w:after="0" w:line="240" w:lineRule="auto"/>
              <w:jc w:val="left"/>
            </w:pPr>
            <w:r>
              <w:rPr>
                <w:rFonts w:ascii="Times New Roman" w:hAnsi="Times New Roman"/>
                <w:sz w:val="18"/>
              </w:rPr>
              <w:t>O que faz?</w:t>
            </w:r>
          </w:p>
        </w:tc>
        <w:tc>
          <w:tcPr>
            <w:tcW w:w="2835" w:type="dxa"/>
            <w:tcMar>
              <w:top w:w="80" w:type="dxa"/>
              <w:left w:w="80" w:type="dxa"/>
              <w:bottom w:w="80" w:type="dxa"/>
              <w:right w:w="80" w:type="dxa"/>
            </w:tcMar>
            <w:vAlign w:val="top"/>
          </w:tcPr>
          <w:p w14:paraId="0A79DBDB">
            <w:pPr>
              <w:spacing w:after="0" w:line="240" w:lineRule="auto"/>
              <w:jc w:val="left"/>
            </w:pPr>
            <w:r>
              <w:rPr>
                <w:rFonts w:ascii="Times New Roman" w:hAnsi="Times New Roman"/>
                <w:sz w:val="18"/>
              </w:rPr>
              <w:t>Atividade desempenhada no ecossistema.</w:t>
            </w:r>
          </w:p>
        </w:tc>
        <w:tc>
          <w:tcPr>
            <w:tcW w:w="2835" w:type="dxa"/>
            <w:tcMar>
              <w:top w:w="80" w:type="dxa"/>
              <w:left w:w="80" w:type="dxa"/>
              <w:bottom w:w="80" w:type="dxa"/>
              <w:right w:w="80" w:type="dxa"/>
            </w:tcMar>
            <w:vAlign w:val="top"/>
          </w:tcPr>
          <w:p w14:paraId="562D1AD3">
            <w:pPr>
              <w:spacing w:after="0" w:line="240" w:lineRule="auto"/>
              <w:jc w:val="left"/>
            </w:pPr>
            <w:r>
              <w:rPr>
                <w:rFonts w:ascii="Times New Roman" w:hAnsi="Times New Roman"/>
                <w:sz w:val="18"/>
              </w:rPr>
              <w:t>criar; informar; entreter; influenciar; vender; ensinar.</w:t>
            </w:r>
          </w:p>
        </w:tc>
      </w:tr>
      <w:tr w14:paraId="7AFF4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cantSplit/>
        </w:trPr>
        <w:tc>
          <w:tcPr>
            <w:tcW w:w="1701" w:type="dxa"/>
            <w:tcMar>
              <w:top w:w="80" w:type="dxa"/>
              <w:left w:w="80" w:type="dxa"/>
              <w:bottom w:w="80" w:type="dxa"/>
              <w:right w:w="80" w:type="dxa"/>
            </w:tcMar>
            <w:vAlign w:val="top"/>
          </w:tcPr>
          <w:p w14:paraId="685F4B4B">
            <w:pPr>
              <w:spacing w:after="0" w:line="240" w:lineRule="auto"/>
              <w:jc w:val="left"/>
            </w:pPr>
            <w:r>
              <w:rPr>
                <w:rFonts w:ascii="Times New Roman" w:hAnsi="Times New Roman"/>
                <w:sz w:val="18"/>
              </w:rPr>
              <w:t xml:space="preserve">D - Vínculos e trocas</w:t>
            </w:r>
          </w:p>
        </w:tc>
        <w:tc>
          <w:tcPr>
            <w:tcW w:w="1701" w:type="dxa"/>
            <w:tcMar>
              <w:top w:w="80" w:type="dxa"/>
              <w:left w:w="80" w:type="dxa"/>
              <w:bottom w:w="80" w:type="dxa"/>
              <w:right w:w="80" w:type="dxa"/>
            </w:tcMar>
            <w:vAlign w:val="top"/>
          </w:tcPr>
          <w:p w14:paraId="036A9FC8">
            <w:pPr>
              <w:spacing w:after="0" w:line="240" w:lineRule="auto"/>
              <w:jc w:val="left"/>
            </w:pPr>
            <w:r>
              <w:rPr>
                <w:rFonts w:ascii="Times New Roman" w:hAnsi="Times New Roman"/>
                <w:sz w:val="18"/>
              </w:rPr>
              <w:t>Como se relaciona?</w:t>
            </w:r>
          </w:p>
        </w:tc>
        <w:tc>
          <w:tcPr>
            <w:tcW w:w="2835" w:type="dxa"/>
            <w:tcMar>
              <w:top w:w="80" w:type="dxa"/>
              <w:left w:w="80" w:type="dxa"/>
              <w:bottom w:w="80" w:type="dxa"/>
              <w:right w:w="80" w:type="dxa"/>
            </w:tcMar>
            <w:vAlign w:val="top"/>
          </w:tcPr>
          <w:p w14:paraId="0F7ACB47">
            <w:pPr>
              <w:spacing w:after="0" w:line="240" w:lineRule="auto"/>
              <w:jc w:val="left"/>
            </w:pPr>
            <w:r>
              <w:rPr>
                <w:rFonts w:ascii="Times New Roman" w:hAnsi="Times New Roman"/>
                <w:sz w:val="18"/>
              </w:rPr>
              <w:t>Natureza do vínculo, benefício ou transação.</w:t>
            </w:r>
          </w:p>
        </w:tc>
        <w:tc>
          <w:tcPr>
            <w:tcW w:w="2835" w:type="dxa"/>
            <w:tcMar>
              <w:top w:w="80" w:type="dxa"/>
              <w:left w:w="80" w:type="dxa"/>
              <w:bottom w:w="80" w:type="dxa"/>
              <w:right w:w="80" w:type="dxa"/>
            </w:tcMar>
            <w:vAlign w:val="top"/>
          </w:tcPr>
          <w:p w14:paraId="4DDD06E3">
            <w:pPr>
              <w:spacing w:after="0" w:line="240" w:lineRule="auto"/>
              <w:jc w:val="left"/>
            </w:pPr>
            <w:r>
              <w:rPr>
                <w:rFonts w:ascii="Times New Roman" w:hAnsi="Times New Roman"/>
                <w:sz w:val="18"/>
              </w:rPr>
              <w:t>publicidade; permuta; UGC contratado; afiliação; patrocínio; embaixadoria.</w:t>
            </w:r>
          </w:p>
        </w:tc>
      </w:tr>
      <w:tr w14:paraId="522FD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cantSplit/>
        </w:trPr>
        <w:tc>
          <w:tcPr>
            <w:tcW w:w="1701" w:type="dxa"/>
            <w:tcMar>
              <w:top w:w="80" w:type="dxa"/>
              <w:left w:w="80" w:type="dxa"/>
              <w:bottom w:w="80" w:type="dxa"/>
              <w:right w:w="80" w:type="dxa"/>
            </w:tcMar>
            <w:vAlign w:val="top"/>
          </w:tcPr>
          <w:p w14:paraId="15BEC1C8">
            <w:pPr>
              <w:spacing w:after="0" w:line="240" w:lineRule="auto"/>
              <w:jc w:val="left"/>
            </w:pPr>
            <w:r>
              <w:rPr>
                <w:rFonts w:ascii="Times New Roman" w:hAnsi="Times New Roman"/>
                <w:sz w:val="18"/>
              </w:rPr>
              <w:t xml:space="preserve">E - Valor e sustentabilidade</w:t>
            </w:r>
          </w:p>
        </w:tc>
        <w:tc>
          <w:tcPr>
            <w:tcW w:w="1701" w:type="dxa"/>
            <w:tcMar>
              <w:top w:w="80" w:type="dxa"/>
              <w:left w:w="80" w:type="dxa"/>
              <w:bottom w:w="80" w:type="dxa"/>
              <w:right w:w="80" w:type="dxa"/>
            </w:tcMar>
            <w:vAlign w:val="top"/>
          </w:tcPr>
          <w:p w14:paraId="2C3EA4BF">
            <w:pPr>
              <w:spacing w:after="0" w:line="240" w:lineRule="auto"/>
              <w:jc w:val="left"/>
            </w:pPr>
            <w:r>
              <w:rPr>
                <w:rFonts w:ascii="Times New Roman" w:hAnsi="Times New Roman"/>
                <w:sz w:val="18"/>
              </w:rPr>
              <w:t>Onde está o valor e de onde vem a receita?</w:t>
            </w:r>
          </w:p>
        </w:tc>
        <w:tc>
          <w:tcPr>
            <w:tcW w:w="2835" w:type="dxa"/>
            <w:tcMar>
              <w:top w:w="80" w:type="dxa"/>
              <w:left w:w="80" w:type="dxa"/>
              <w:bottom w:w="80" w:type="dxa"/>
              <w:right w:w="80" w:type="dxa"/>
            </w:tcMar>
            <w:vAlign w:val="top"/>
          </w:tcPr>
          <w:p w14:paraId="2540D03E">
            <w:pPr>
              <w:spacing w:after="0" w:line="240" w:lineRule="auto"/>
              <w:jc w:val="left"/>
            </w:pPr>
            <w:r>
              <w:rPr>
                <w:rFonts w:ascii="Times New Roman" w:hAnsi="Times New Roman"/>
                <w:sz w:val="18"/>
              </w:rPr>
              <w:t>Ativos, modelo de negócio e fontes de receita.</w:t>
            </w:r>
          </w:p>
        </w:tc>
        <w:tc>
          <w:tcPr>
            <w:tcW w:w="2835" w:type="dxa"/>
            <w:tcMar>
              <w:top w:w="80" w:type="dxa"/>
              <w:left w:w="80" w:type="dxa"/>
              <w:bottom w:w="80" w:type="dxa"/>
              <w:right w:w="80" w:type="dxa"/>
            </w:tcMar>
            <w:vAlign w:val="top"/>
          </w:tcPr>
          <w:p w14:paraId="4D1E3FAF">
            <w:pPr>
              <w:spacing w:after="0" w:line="240" w:lineRule="auto"/>
              <w:jc w:val="left"/>
            </w:pPr>
            <w:r>
              <w:rPr>
                <w:rFonts w:ascii="Times New Roman" w:hAnsi="Times New Roman"/>
                <w:sz w:val="18"/>
              </w:rPr>
              <w:t>fee; comissão; assinatura; payout; venda; licenciamento; royalties.</w:t>
            </w:r>
          </w:p>
        </w:tc>
      </w:tr>
      <w:tr w14:paraId="1CE3F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cantSplit/>
        </w:trPr>
        <w:tc>
          <w:tcPr>
            <w:tcW w:w="1701" w:type="dxa"/>
            <w:tcMar>
              <w:top w:w="80" w:type="dxa"/>
              <w:left w:w="80" w:type="dxa"/>
              <w:bottom w:w="80" w:type="dxa"/>
              <w:right w:w="80" w:type="dxa"/>
            </w:tcMar>
            <w:vAlign w:val="top"/>
          </w:tcPr>
          <w:p w14:paraId="324F8E78">
            <w:pPr>
              <w:spacing w:after="0" w:line="240" w:lineRule="auto"/>
              <w:jc w:val="left"/>
              <w:keepNext w:val="1"/>
            </w:pPr>
            <w:r>
              <w:rPr>
                <w:rFonts w:ascii="Times New Roman" w:hAnsi="Times New Roman"/>
                <w:sz w:val="18"/>
              </w:rPr>
              <w:t xml:space="preserve">F - Redes e estruturas de apoio</w:t>
            </w:r>
          </w:p>
        </w:tc>
        <w:tc>
          <w:tcPr>
            <w:tcW w:w="1701" w:type="dxa"/>
            <w:tcMar>
              <w:top w:w="80" w:type="dxa"/>
              <w:left w:w="80" w:type="dxa"/>
              <w:bottom w:w="80" w:type="dxa"/>
              <w:right w:w="80" w:type="dxa"/>
            </w:tcMar>
            <w:vAlign w:val="top"/>
          </w:tcPr>
          <w:p w14:paraId="0FD45007">
            <w:pPr>
              <w:spacing w:after="0" w:line="240" w:lineRule="auto"/>
              <w:jc w:val="left"/>
              <w:keepNext w:val="1"/>
            </w:pPr>
            <w:r>
              <w:rPr>
                <w:rFonts w:ascii="Times New Roman" w:hAnsi="Times New Roman"/>
                <w:sz w:val="18"/>
              </w:rPr>
              <w:t>Quem conecta ou viabiliza?</w:t>
            </w:r>
          </w:p>
        </w:tc>
        <w:tc>
          <w:tcPr>
            <w:tcW w:w="2835" w:type="dxa"/>
            <w:tcMar>
              <w:top w:w="80" w:type="dxa"/>
              <w:left w:w="80" w:type="dxa"/>
              <w:bottom w:w="80" w:type="dxa"/>
              <w:right w:w="80" w:type="dxa"/>
            </w:tcMar>
            <w:vAlign w:val="top"/>
          </w:tcPr>
          <w:p w14:paraId="1B159B2D">
            <w:pPr>
              <w:spacing w:after="0" w:line="240" w:lineRule="auto"/>
              <w:jc w:val="left"/>
              <w:keepNext w:val="1"/>
            </w:pPr>
            <w:r>
              <w:rPr>
                <w:rFonts w:ascii="Times New Roman" w:hAnsi="Times New Roman"/>
                <w:sz w:val="18"/>
              </w:rPr>
              <w:t>Atores, tecnologias e sistemas de suporte.</w:t>
            </w:r>
          </w:p>
        </w:tc>
        <w:tc>
          <w:tcPr>
            <w:tcW w:w="2835" w:type="dxa"/>
            <w:tcMar>
              <w:top w:w="80" w:type="dxa"/>
              <w:left w:w="80" w:type="dxa"/>
              <w:bottom w:w="80" w:type="dxa"/>
              <w:right w:w="80" w:type="dxa"/>
            </w:tcMar>
            <w:vAlign w:val="top"/>
          </w:tcPr>
          <w:p w14:paraId="47BBF5CB">
            <w:pPr>
              <w:spacing w:after="0" w:line="240" w:lineRule="auto"/>
              <w:jc w:val="left"/>
              <w:keepNext w:val="1"/>
            </w:pPr>
            <w:r>
              <w:rPr>
                <w:rFonts w:ascii="Times New Roman" w:hAnsi="Times New Roman"/>
                <w:sz w:val="18"/>
              </w:rPr>
              <w:t>agências; managers; marketplaces; plataformas; adtechs; martechs; redes de afiliados.</w:t>
            </w:r>
          </w:p>
        </w:tc>
      </w:tr>
    </w:tbl>
    <w:p w14:paraId="7ADD9936">
      <w:pPr>
        <w:spacing w:after="0"/>
        <w:keepNext w:val="1"/>
      </w:pPr>
    </w:p>
    <w:p w14:paraId="75F234D9">
      <w:pPr>
        <w:keepNext/>
        <w:spacing w:after="60" w:before="60"/>
        <w:jc w:val="center"/>
      </w:pPr>
      <w:r>
        <w:rPr>
          <w:rFonts w:ascii="Times New Roman" w:hAnsi="Times New Roman"/>
          <w:i/>
          <w:sz w:val="20"/>
        </w:rPr>
        <w:t>Quadro 2 - Dimensões da Taxonomia Brasileira Multidimensional. Fonte: elaboração própria.</w:t>
      </w:r>
    </w:p>
    <w:p>
      <w:pPr>
        <w:spacing w:line="360" w:lineRule="auto" w:before="0" w:after="0"/>
        <w:ind w:firstLine="709"/>
        <w:jc w:val="both"/>
      </w:pPr>
      <w:r>
        <w:rPr>
          <w:rFonts w:ascii="Times New Roman" w:hAnsi="Times New Roman"/>
          <w:sz w:val="24"/>
        </w:rPr>
        <w:t xml:space="preserve">O roteiro editorial que originou a pesquisa formula seis perguntas centrais, mas, em seu quadro operacional, separa “Negócio” e “Monetização” em duas linhas. Para preservar a arquitetura das seis perguntas sem perder essa distinção, o modelo científico agrega ambos na dimensão E - Valor e sustentabilidade. Dentro dela, “negócio” identifica ativos e configurações de geração de valor, enquanto “monetização” identifica mecanismos e fontes de receita. A consolidação é, portanto, estrutural, e não uma supressão analítica.</w:t>
      </w:r>
    </w:p>
    <w:p w14:paraId="698AA350">
      <w:pPr>
        <w:pStyle w:val="3"/>
        <w:keepNext/>
        <w:keepLines/>
        <w:spacing w:before="160" w:after="120"/>
        <w:jc w:val="left"/>
      </w:pPr>
      <w:r>
        <w:rPr>
          <w:rFonts w:ascii="Times New Roman" w:hAnsi="Times New Roman"/>
          <w:b/>
          <w:sz w:val="24"/>
        </w:rPr>
        <w:t>5.3 Modelo relacional</w:t>
      </w:r>
    </w:p>
    <w:p w14:paraId="1C992120">
      <w:pPr>
        <w:keepNext w:val="0"/>
        <w:spacing w:before="0" w:after="0" w:line="360" w:lineRule="auto"/>
        <w:ind w:firstLine="709"/>
        <w:jc w:val="both"/>
      </w:pPr>
      <w:r>
        <w:rPr>
          <w:rFonts w:ascii="Times New Roman" w:hAnsi="Times New Roman"/>
          <w:sz w:val="24"/>
        </w:rPr>
        <w:t>Formalmente, um participante x pode ser representado por uma configuração T(x) = {A, B, C, D, E, F}, em que cada dimensão admite um ou mais atributos. O modelo não exige que todas as dimensões estejam sempre preenchidas, mas recomenda que a descrição analítica diferencie o que é identidade, formato, função, relação econômica, monetização e infraestrutura. Essa estrutura permite comparações mais consistentes e evita inferências indevidas, como presumir que todo influencer possui relação comercial com marcas ou que todo afiliado é influencer.</w:t>
      </w:r>
    </w:p>
    <w:p w14:paraId="5D5208B2">
      <w:pPr>
        <w:keepNext w:val="0"/>
        <w:spacing w:before="0" w:after="0" w:line="360" w:lineRule="auto"/>
        <w:ind w:firstLine="709"/>
        <w:jc w:val="both"/>
      </w:pPr>
      <w:r>
        <w:rPr>
          <w:rFonts w:ascii="Times New Roman" w:hAnsi="Times New Roman"/>
          <w:sz w:val="24"/>
        </w:rPr>
        <w:t>Exemplo hipotético: uma profissional pode ser classificada em A como creator + influencer; em B como vídeo + live + Instagram + YouTube; em C como informar + entreter + influenciar; em D como publicidade + afiliação + brand ambassador; em E como fee + comissão + produto próprio; e em F como plataforma + agência + marketplace. A pergunta deixa de ser "ela é creator ou influencer?" e passa a ser "qual é a configuração multidimensional de sua atuação?".</w:t>
      </w:r>
    </w:p>
    <w:p w14:paraId="58E95CCA">
      <w:pPr>
        <w:pStyle w:val="3"/>
        <w:keepNext/>
        <w:keepLines/>
        <w:spacing w:before="160" w:after="120"/>
        <w:jc w:val="left"/>
      </w:pPr>
      <w:r>
        <w:rPr>
          <w:rFonts w:ascii="Times New Roman" w:hAnsi="Times New Roman"/>
          <w:b/>
          <w:sz w:val="24"/>
        </w:rPr>
        <w:t>5.4 Cadeia de criação e captura de valor</w:t>
      </w:r>
    </w:p>
    <w:p w14:paraId="079BB20D">
      <w:pPr>
        <w:keepNext w:val="1"/>
      </w:pPr>
      <w:r>
        <w:drawing>
          <wp:inline distT="0" distB="0" distL="114300" distR="114300">
            <wp:extent cx="5759450" cy="1162050"/>
            <wp:effectExtent l="0" t="0" r="1270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10"/>
                    <a:stretch>
                      <a:fillRect/>
                    </a:stretch>
                  </pic:blipFill>
                  <pic:spPr>
                    <a:xfrm>
                      <a:off x="0" y="0"/>
                      <a:ext cx="5760000" cy="1162083"/>
                    </a:xfrm>
                    <a:prstGeom prst="rect">
                      <a:avLst/>
                    </a:prstGeom>
                  </pic:spPr>
                </pic:pic>
              </a:graphicData>
            </a:graphic>
          </wp:inline>
        </w:drawing>
      </w:r>
    </w:p>
    <w:p w14:paraId="0E2785BD">
      <w:pPr>
        <w:keepNext/>
        <w:spacing w:after="60" w:before="60"/>
        <w:jc w:val="center"/>
      </w:pPr>
      <w:r>
        <w:rPr>
          <w:rFonts w:ascii="Times New Roman" w:hAnsi="Times New Roman"/>
          <w:i/>
          <w:sz w:val="20"/>
        </w:rPr>
        <w:t>Figura 3 - Cadeia analítica simplificada de criação e captura de valor. Fonte: elaboração própria.</w:t>
      </w:r>
    </w:p>
    <w:p w14:paraId="5CBBEF98">
      <w:pPr>
        <w:keepNext w:val="0"/>
        <w:spacing w:before="0" w:after="0" w:line="360" w:lineRule="auto"/>
        <w:ind w:firstLine="709"/>
        <w:jc w:val="both"/>
      </w:pPr>
      <w:r>
        <w:rPr>
          <w:rFonts w:ascii="Times New Roman" w:hAnsi="Times New Roman"/>
          <w:sz w:val="24"/>
        </w:rPr>
        <w:t>A cadeia apresentada é analítica, não causal. Conteúdo pode gerar atenção; atenção pode formar audiência; audiência pode desenvolver comunidade; comunidade pode sustentar influência; influência pode favorecer ação ou conversão; e conversão pode gerar receita. Nenhuma seta, entretanto, é automática. Os estudos de mensuração do IAB (2026a) reforçam que métricas fragmentadas e proxies dificultam atribuir valor econômico de maneira padronizada. Por isso, a taxonomia separa audiência, influência, ação e receita em vez de tratá-las como etapas equivalentes.</w:t>
      </w:r>
    </w:p>
    <w:p w14:paraId="17EA0D7F">
      <w:pPr>
        <w:pStyle w:val="3"/>
        <w:keepNext/>
        <w:keepLines/>
        <w:spacing w:before="160" w:after="120"/>
        <w:jc w:val="left"/>
      </w:pPr>
      <w:r>
        <w:rPr>
          <w:rFonts w:ascii="Times New Roman" w:hAnsi="Times New Roman"/>
          <w:b/>
          <w:sz w:val="24"/>
        </w:rPr>
        <w:t>5.5 Glossário taxonômico ampliado</w:t>
      </w:r>
    </w:p>
    <w:tbl>
      <w:tblPr>
        <w:tblStyle w:val="3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56"/>
        <w:gridCol w:w="1697"/>
        <w:gridCol w:w="3888"/>
        <w:gridCol w:w="2224"/>
      </w:tblGrid>
      <w:tr w14:paraId="279F0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cantSplit/>
        </w:trPr>
        <w:tc>
          <w:tcPr>
            <w:tcW w:w="1814" w:type="dxa"/>
            <w:shd w:val="clear" w:color="auto" w:fill="D9E2F3"/>
            <w:tcMar>
              <w:top w:w="80" w:type="dxa"/>
              <w:left w:w="80" w:type="dxa"/>
              <w:bottom w:w="80" w:type="dxa"/>
              <w:right w:w="80" w:type="dxa"/>
            </w:tcMar>
            <w:vAlign w:val="center"/>
          </w:tcPr>
          <w:p w14:paraId="3DD01A8B">
            <w:pPr>
              <w:spacing w:after="0" w:line="240" w:lineRule="auto"/>
              <w:jc w:val="center"/>
            </w:pPr>
            <w:r>
              <w:rPr>
                <w:rFonts w:ascii="Times New Roman" w:hAnsi="Times New Roman"/>
                <w:b/>
                <w:sz w:val="17"/>
              </w:rPr>
              <w:t>Termo</w:t>
            </w:r>
          </w:p>
        </w:tc>
        <w:tc>
          <w:tcPr>
            <w:tcW w:w="1701" w:type="dxa"/>
            <w:shd w:val="clear" w:color="auto" w:fill="D9E2F3"/>
            <w:tcMar>
              <w:top w:w="80" w:type="dxa"/>
              <w:left w:w="80" w:type="dxa"/>
              <w:bottom w:w="80" w:type="dxa"/>
              <w:right w:w="80" w:type="dxa"/>
            </w:tcMar>
            <w:vAlign w:val="center"/>
          </w:tcPr>
          <w:p w14:paraId="0E067E31">
            <w:pPr>
              <w:spacing w:after="0" w:line="240" w:lineRule="auto"/>
              <w:jc w:val="center"/>
            </w:pPr>
            <w:r>
              <w:rPr>
                <w:rFonts w:ascii="Times New Roman" w:hAnsi="Times New Roman"/>
                <w:b/>
                <w:sz w:val="17"/>
              </w:rPr>
              <w:t>Dimensão principal</w:t>
            </w:r>
          </w:p>
        </w:tc>
        <w:tc>
          <w:tcPr>
            <w:tcW w:w="4082" w:type="dxa"/>
            <w:shd w:val="clear" w:color="auto" w:fill="D9E2F3"/>
            <w:tcMar>
              <w:top w:w="80" w:type="dxa"/>
              <w:left w:w="80" w:type="dxa"/>
              <w:bottom w:w="80" w:type="dxa"/>
              <w:right w:w="80" w:type="dxa"/>
            </w:tcMar>
            <w:vAlign w:val="center"/>
          </w:tcPr>
          <w:p w14:paraId="76D5D18E">
            <w:pPr>
              <w:spacing w:after="0" w:line="240" w:lineRule="auto"/>
              <w:jc w:val="center"/>
            </w:pPr>
            <w:r>
              <w:rPr>
                <w:rFonts w:ascii="Times New Roman" w:hAnsi="Times New Roman"/>
                <w:b/>
                <w:sz w:val="17"/>
              </w:rPr>
              <w:t>Definição proposta</w:t>
            </w:r>
          </w:p>
        </w:tc>
        <w:tc>
          <w:tcPr>
            <w:tcW w:w="2268" w:type="dxa"/>
            <w:shd w:val="clear" w:color="auto" w:fill="D9E2F3"/>
            <w:tcMar>
              <w:top w:w="80" w:type="dxa"/>
              <w:left w:w="80" w:type="dxa"/>
              <w:bottom w:w="80" w:type="dxa"/>
              <w:right w:w="80" w:type="dxa"/>
            </w:tcMar>
            <w:vAlign w:val="center"/>
          </w:tcPr>
          <w:p w14:paraId="1A3935D8">
            <w:pPr>
              <w:spacing w:after="0" w:line="240" w:lineRule="auto"/>
              <w:jc w:val="center"/>
            </w:pPr>
            <w:r>
              <w:rPr>
                <w:rFonts w:ascii="Times New Roman" w:hAnsi="Times New Roman"/>
                <w:b/>
                <w:sz w:val="17"/>
              </w:rPr>
              <w:t>Não confundir com / observação</w:t>
            </w:r>
          </w:p>
        </w:tc>
      </w:tr>
      <w:tr w14:paraId="6CFDC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cantSplit/>
        </w:trPr>
        <w:tc>
          <w:tcPr>
            <w:tcW w:w="1814" w:type="dxa"/>
            <w:tcMar>
              <w:top w:w="80" w:type="dxa"/>
              <w:left w:w="80" w:type="dxa"/>
              <w:bottom w:w="80" w:type="dxa"/>
              <w:right w:w="80" w:type="dxa"/>
            </w:tcMar>
            <w:vAlign w:val="top"/>
          </w:tcPr>
          <w:p w14:paraId="0126FD6F">
            <w:pPr>
              <w:spacing w:after="0" w:line="240" w:lineRule="auto"/>
              <w:jc w:val="left"/>
            </w:pPr>
            <w:r>
              <w:rPr>
                <w:rFonts w:ascii="Times New Roman" w:hAnsi="Times New Roman"/>
                <w:sz w:val="17"/>
              </w:rPr>
              <w:t>Creator</w:t>
            </w:r>
          </w:p>
        </w:tc>
        <w:tc>
          <w:tcPr>
            <w:tcW w:w="1701" w:type="dxa"/>
            <w:tcMar>
              <w:top w:w="80" w:type="dxa"/>
              <w:left w:w="80" w:type="dxa"/>
              <w:bottom w:w="80" w:type="dxa"/>
              <w:right w:w="80" w:type="dxa"/>
            </w:tcMar>
            <w:vAlign w:val="top"/>
          </w:tcPr>
          <w:p w14:paraId="781A9429">
            <w:pPr>
              <w:spacing w:after="0" w:line="240" w:lineRule="auto"/>
              <w:jc w:val="left"/>
            </w:pPr>
            <w:r>
              <w:rPr>
                <w:rFonts w:ascii="Times New Roman" w:hAnsi="Times New Roman"/>
                <w:sz w:val="17"/>
              </w:rPr>
              <w:t>Agente</w:t>
            </w:r>
          </w:p>
        </w:tc>
        <w:tc>
          <w:tcPr>
            <w:tcW w:w="4082" w:type="dxa"/>
            <w:tcMar>
              <w:top w:w="80" w:type="dxa"/>
              <w:left w:w="80" w:type="dxa"/>
              <w:bottom w:w="80" w:type="dxa"/>
              <w:right w:w="80" w:type="dxa"/>
            </w:tcMar>
            <w:vAlign w:val="top"/>
          </w:tcPr>
          <w:p w14:paraId="3CDA05EC">
            <w:pPr>
              <w:spacing w:after="0" w:line="240" w:lineRule="auto"/>
              <w:jc w:val="left"/>
            </w:pPr>
            <w:r>
              <w:rPr>
                <w:rFonts w:ascii="Times New Roman" w:hAnsi="Times New Roman"/>
                <w:sz w:val="17"/>
              </w:rPr>
              <w:t>Pessoa ou organização que produz e distribui conteúdo, conhecimento, criatividade, formatos ou propriedade intelectual, podendo construir audiência, comunidade, influência e negócios.</w:t>
            </w:r>
          </w:p>
        </w:tc>
        <w:tc>
          <w:tcPr>
            <w:tcW w:w="2268" w:type="dxa"/>
            <w:tcMar>
              <w:top w:w="80" w:type="dxa"/>
              <w:left w:w="80" w:type="dxa"/>
              <w:bottom w:w="80" w:type="dxa"/>
              <w:right w:w="80" w:type="dxa"/>
            </w:tcMar>
            <w:vAlign w:val="top"/>
          </w:tcPr>
          <w:p w14:paraId="1DCB8DC6">
            <w:pPr>
              <w:spacing w:after="0" w:line="240" w:lineRule="auto"/>
              <w:jc w:val="left"/>
            </w:pPr>
            <w:r>
              <w:rPr>
                <w:rFonts w:ascii="Times New Roman" w:hAnsi="Times New Roman"/>
                <w:sz w:val="17"/>
              </w:rPr>
              <w:t>Não é sinônimo necessário de influencer.</w:t>
            </w:r>
          </w:p>
        </w:tc>
      </w:tr>
      <w:tr w14:paraId="010F3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cantSplit/>
        </w:trPr>
        <w:tc>
          <w:tcPr>
            <w:tcW w:w="1814" w:type="dxa"/>
            <w:tcMar>
              <w:top w:w="80" w:type="dxa"/>
              <w:left w:w="80" w:type="dxa"/>
              <w:bottom w:w="80" w:type="dxa"/>
              <w:right w:w="80" w:type="dxa"/>
            </w:tcMar>
            <w:vAlign w:val="top"/>
          </w:tcPr>
          <w:p w14:paraId="23ED790B">
            <w:pPr>
              <w:spacing w:after="0" w:line="240" w:lineRule="auto"/>
              <w:jc w:val="left"/>
            </w:pPr>
            <w:r>
              <w:rPr>
                <w:rFonts w:ascii="Times New Roman" w:hAnsi="Times New Roman"/>
                <w:sz w:val="17"/>
              </w:rPr>
              <w:t>Influencer</w:t>
            </w:r>
          </w:p>
        </w:tc>
        <w:tc>
          <w:tcPr>
            <w:tcW w:w="1701" w:type="dxa"/>
            <w:tcMar>
              <w:top w:w="80" w:type="dxa"/>
              <w:left w:w="80" w:type="dxa"/>
              <w:bottom w:w="80" w:type="dxa"/>
              <w:right w:w="80" w:type="dxa"/>
            </w:tcMar>
            <w:vAlign w:val="top"/>
          </w:tcPr>
          <w:p w14:paraId="52968222">
            <w:pPr>
              <w:spacing w:after="0" w:line="240" w:lineRule="auto"/>
              <w:jc w:val="left"/>
            </w:pPr>
            <w:r>
              <w:rPr>
                <w:rFonts w:ascii="Times New Roman" w:hAnsi="Times New Roman"/>
                <w:sz w:val="17"/>
              </w:rPr>
              <w:t>Agente/posição</w:t>
            </w:r>
          </w:p>
        </w:tc>
        <w:tc>
          <w:tcPr>
            <w:tcW w:w="4082" w:type="dxa"/>
            <w:tcMar>
              <w:top w:w="80" w:type="dxa"/>
              <w:left w:w="80" w:type="dxa"/>
              <w:bottom w:w="80" w:type="dxa"/>
              <w:right w:w="80" w:type="dxa"/>
            </w:tcMar>
            <w:vAlign w:val="top"/>
          </w:tcPr>
          <w:p w14:paraId="7DBB0AEF">
            <w:pPr>
              <w:spacing w:after="0" w:line="240" w:lineRule="auto"/>
              <w:jc w:val="left"/>
            </w:pPr>
            <w:r>
              <w:rPr>
                <w:rFonts w:ascii="Times New Roman" w:hAnsi="Times New Roman"/>
                <w:sz w:val="17"/>
              </w:rPr>
              <w:t>Participante cuja atuação se caracteriza de forma relevante pela capacidade de influenciar percepções, preferências ou comportamentos com base em reputação, autoridade, confiança ou vínculo com audiência.</w:t>
            </w:r>
          </w:p>
        </w:tc>
        <w:tc>
          <w:tcPr>
            <w:tcW w:w="2268" w:type="dxa"/>
            <w:tcMar>
              <w:top w:w="80" w:type="dxa"/>
              <w:left w:w="80" w:type="dxa"/>
              <w:bottom w:w="80" w:type="dxa"/>
              <w:right w:w="80" w:type="dxa"/>
            </w:tcMar>
            <w:vAlign w:val="top"/>
          </w:tcPr>
          <w:p w14:paraId="078D8240">
            <w:pPr>
              <w:spacing w:after="0" w:line="240" w:lineRule="auto"/>
              <w:jc w:val="left"/>
            </w:pPr>
            <w:r>
              <w:rPr>
                <w:rFonts w:ascii="Times New Roman" w:hAnsi="Times New Roman"/>
                <w:sz w:val="17"/>
              </w:rPr>
              <w:t>Influência não depende apenas do número de seguidores.</w:t>
            </w:r>
          </w:p>
        </w:tc>
      </w:tr>
      <w:tr w14:paraId="14201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cantSplit/>
        </w:trPr>
        <w:tc>
          <w:tcPr>
            <w:tcW w:w="1814" w:type="dxa"/>
            <w:tcMar>
              <w:top w:w="80" w:type="dxa"/>
              <w:left w:w="80" w:type="dxa"/>
              <w:bottom w:w="80" w:type="dxa"/>
              <w:right w:w="80" w:type="dxa"/>
            </w:tcMar>
            <w:vAlign w:val="top"/>
          </w:tcPr>
          <w:p w14:paraId="74053F1D">
            <w:pPr>
              <w:spacing w:after="0" w:line="240" w:lineRule="auto"/>
              <w:jc w:val="left"/>
            </w:pPr>
            <w:r>
              <w:rPr>
                <w:rFonts w:ascii="Times New Roman" w:hAnsi="Times New Roman"/>
                <w:sz w:val="17"/>
              </w:rPr>
              <w:t>UGC Creator</w:t>
            </w:r>
          </w:p>
        </w:tc>
        <w:tc>
          <w:tcPr>
            <w:tcW w:w="1701" w:type="dxa"/>
            <w:tcMar>
              <w:top w:w="80" w:type="dxa"/>
              <w:left w:w="80" w:type="dxa"/>
              <w:bottom w:w="80" w:type="dxa"/>
              <w:right w:w="80" w:type="dxa"/>
            </w:tcMar>
            <w:vAlign w:val="top"/>
          </w:tcPr>
          <w:p w14:paraId="69FF814B">
            <w:pPr>
              <w:spacing w:after="0" w:line="240" w:lineRule="auto"/>
              <w:jc w:val="left"/>
            </w:pPr>
            <w:r>
              <w:rPr>
                <w:rFonts w:ascii="Times New Roman" w:hAnsi="Times New Roman"/>
                <w:sz w:val="17"/>
              </w:rPr>
              <w:t>Agente + relação</w:t>
            </w:r>
          </w:p>
        </w:tc>
        <w:tc>
          <w:tcPr>
            <w:tcW w:w="4082" w:type="dxa"/>
            <w:tcMar>
              <w:top w:w="80" w:type="dxa"/>
              <w:left w:w="80" w:type="dxa"/>
              <w:bottom w:w="80" w:type="dxa"/>
              <w:right w:w="80" w:type="dxa"/>
            </w:tcMar>
            <w:vAlign w:val="top"/>
          </w:tcPr>
          <w:p w14:paraId="3CF72A9E">
            <w:pPr>
              <w:spacing w:after="0" w:line="240" w:lineRule="auto"/>
              <w:jc w:val="left"/>
            </w:pPr>
            <w:r>
              <w:rPr>
                <w:rFonts w:ascii="Times New Roman" w:hAnsi="Times New Roman"/>
                <w:sz w:val="17"/>
              </w:rPr>
              <w:t>Creator contratado prioritariamente para produzir conteúdo destinado ao uso por uma marca ou terceiro, sem depender de audiência própria como ativo central da contratação.</w:t>
            </w:r>
          </w:p>
        </w:tc>
        <w:tc>
          <w:tcPr>
            <w:tcW w:w="2268" w:type="dxa"/>
            <w:tcMar>
              <w:top w:w="80" w:type="dxa"/>
              <w:left w:w="80" w:type="dxa"/>
              <w:bottom w:w="80" w:type="dxa"/>
              <w:right w:w="80" w:type="dxa"/>
            </w:tcMar>
            <w:vAlign w:val="top"/>
          </w:tcPr>
          <w:p w14:paraId="6EF64546">
            <w:pPr>
              <w:spacing w:after="0" w:line="240" w:lineRule="auto"/>
              <w:jc w:val="left"/>
            </w:pPr>
            <w:r>
              <w:rPr>
                <w:rFonts w:ascii="Times New Roman" w:hAnsi="Times New Roman"/>
                <w:sz w:val="17"/>
              </w:rPr>
              <w:t>Diferenciar de conteúdo espontâneo de usuário.</w:t>
            </w:r>
          </w:p>
        </w:tc>
      </w:tr>
      <w:tr w14:paraId="3F71F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cantSplit/>
        </w:trPr>
        <w:tc>
          <w:tcPr>
            <w:tcW w:w="1814" w:type="dxa"/>
            <w:tcMar>
              <w:top w:w="80" w:type="dxa"/>
              <w:left w:w="80" w:type="dxa"/>
              <w:bottom w:w="80" w:type="dxa"/>
              <w:right w:w="80" w:type="dxa"/>
            </w:tcMar>
            <w:vAlign w:val="top"/>
          </w:tcPr>
          <w:p w14:paraId="41D44F12">
            <w:pPr>
              <w:spacing w:after="0" w:line="240" w:lineRule="auto"/>
              <w:jc w:val="left"/>
            </w:pPr>
            <w:r>
              <w:rPr>
                <w:rFonts w:ascii="Times New Roman" w:hAnsi="Times New Roman"/>
                <w:sz w:val="17"/>
              </w:rPr>
              <w:t>KOL - Key Opinion Leader</w:t>
            </w:r>
          </w:p>
        </w:tc>
        <w:tc>
          <w:tcPr>
            <w:tcW w:w="1701" w:type="dxa"/>
            <w:tcMar>
              <w:top w:w="80" w:type="dxa"/>
              <w:left w:w="80" w:type="dxa"/>
              <w:bottom w:w="80" w:type="dxa"/>
              <w:right w:w="80" w:type="dxa"/>
            </w:tcMar>
            <w:vAlign w:val="top"/>
          </w:tcPr>
          <w:p w14:paraId="015CE8EE">
            <w:pPr>
              <w:spacing w:after="0" w:line="240" w:lineRule="auto"/>
              <w:jc w:val="left"/>
            </w:pPr>
            <w:r>
              <w:rPr>
                <w:rFonts w:ascii="Times New Roman" w:hAnsi="Times New Roman"/>
                <w:sz w:val="17"/>
              </w:rPr>
              <w:t>Agente/posição</w:t>
            </w:r>
          </w:p>
        </w:tc>
        <w:tc>
          <w:tcPr>
            <w:tcW w:w="4082" w:type="dxa"/>
            <w:tcMar>
              <w:top w:w="80" w:type="dxa"/>
              <w:left w:w="80" w:type="dxa"/>
              <w:bottom w:w="80" w:type="dxa"/>
              <w:right w:w="80" w:type="dxa"/>
            </w:tcMar>
            <w:vAlign w:val="top"/>
          </w:tcPr>
          <w:p w14:paraId="659375CE">
            <w:pPr>
              <w:spacing w:after="0" w:line="240" w:lineRule="auto"/>
              <w:jc w:val="left"/>
            </w:pPr>
            <w:r>
              <w:rPr>
                <w:rFonts w:ascii="Times New Roman" w:hAnsi="Times New Roman"/>
                <w:sz w:val="17"/>
              </w:rPr>
              <w:t>Pessoa cuja influência decorre principalmente de expertise, experiência ou autoridade reconhecida em determinado campo.</w:t>
            </w:r>
          </w:p>
        </w:tc>
        <w:tc>
          <w:tcPr>
            <w:tcW w:w="2268" w:type="dxa"/>
            <w:tcMar>
              <w:top w:w="80" w:type="dxa"/>
              <w:left w:w="80" w:type="dxa"/>
              <w:bottom w:w="80" w:type="dxa"/>
              <w:right w:w="80" w:type="dxa"/>
            </w:tcMar>
            <w:vAlign w:val="top"/>
          </w:tcPr>
          <w:p w14:paraId="4097B4D5">
            <w:pPr>
              <w:spacing w:after="0" w:line="240" w:lineRule="auto"/>
              <w:jc w:val="left"/>
            </w:pPr>
            <w:r>
              <w:rPr>
                <w:rFonts w:ascii="Times New Roman" w:hAnsi="Times New Roman"/>
                <w:sz w:val="17"/>
              </w:rPr>
              <w:t>Pode ser creator ou influencer, mas a autoridade temática é central.</w:t>
            </w:r>
          </w:p>
        </w:tc>
      </w:tr>
      <w:tr w14:paraId="3B347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cantSplit/>
        </w:trPr>
        <w:tc>
          <w:tcPr>
            <w:tcW w:w="1814" w:type="dxa"/>
            <w:tcMar>
              <w:top w:w="80" w:type="dxa"/>
              <w:left w:w="80" w:type="dxa"/>
              <w:bottom w:w="80" w:type="dxa"/>
              <w:right w:w="80" w:type="dxa"/>
            </w:tcMar>
            <w:vAlign w:val="top"/>
          </w:tcPr>
          <w:p w14:paraId="475AB357">
            <w:pPr>
              <w:spacing w:after="0" w:line="240" w:lineRule="auto"/>
              <w:jc w:val="left"/>
            </w:pPr>
            <w:r>
              <w:rPr>
                <w:rFonts w:ascii="Times New Roman" w:hAnsi="Times New Roman"/>
                <w:sz w:val="17"/>
              </w:rPr>
              <w:t>Streamer</w:t>
            </w:r>
          </w:p>
        </w:tc>
        <w:tc>
          <w:tcPr>
            <w:tcW w:w="1701" w:type="dxa"/>
            <w:tcMar>
              <w:top w:w="80" w:type="dxa"/>
              <w:left w:w="80" w:type="dxa"/>
              <w:bottom w:w="80" w:type="dxa"/>
              <w:right w:w="80" w:type="dxa"/>
            </w:tcMar>
            <w:vAlign w:val="top"/>
          </w:tcPr>
          <w:p w14:paraId="30D97BCA">
            <w:pPr>
              <w:spacing w:after="0" w:line="240" w:lineRule="auto"/>
              <w:jc w:val="left"/>
            </w:pPr>
            <w:r>
              <w:rPr>
                <w:rFonts w:ascii="Times New Roman" w:hAnsi="Times New Roman"/>
                <w:sz w:val="17"/>
              </w:rPr>
              <w:t>Formato/posição</w:t>
            </w:r>
          </w:p>
        </w:tc>
        <w:tc>
          <w:tcPr>
            <w:tcW w:w="4082" w:type="dxa"/>
            <w:tcMar>
              <w:top w:w="80" w:type="dxa"/>
              <w:left w:w="80" w:type="dxa"/>
              <w:bottom w:w="80" w:type="dxa"/>
              <w:right w:w="80" w:type="dxa"/>
            </w:tcMar>
            <w:vAlign w:val="top"/>
          </w:tcPr>
          <w:p w14:paraId="65A3FA37">
            <w:pPr>
              <w:spacing w:after="0" w:line="240" w:lineRule="auto"/>
              <w:jc w:val="left"/>
            </w:pPr>
            <w:r>
              <w:rPr>
                <w:rFonts w:ascii="Times New Roman" w:hAnsi="Times New Roman"/>
                <w:sz w:val="17"/>
              </w:rPr>
              <w:t>Creator cuja atividade é organizada predominantemente em torno de transmissões ao vivo ou contínuas.</w:t>
            </w:r>
          </w:p>
        </w:tc>
        <w:tc>
          <w:tcPr>
            <w:tcW w:w="2268" w:type="dxa"/>
            <w:tcMar>
              <w:top w:w="80" w:type="dxa"/>
              <w:left w:w="80" w:type="dxa"/>
              <w:bottom w:w="80" w:type="dxa"/>
              <w:right w:w="80" w:type="dxa"/>
            </w:tcMar>
            <w:vAlign w:val="top"/>
          </w:tcPr>
          <w:p w14:paraId="6B57C047">
            <w:pPr>
              <w:spacing w:after="0" w:line="240" w:lineRule="auto"/>
              <w:jc w:val="left"/>
            </w:pPr>
            <w:r>
              <w:rPr>
                <w:rFonts w:ascii="Times New Roman" w:hAnsi="Times New Roman"/>
                <w:sz w:val="17"/>
              </w:rPr>
              <w:t>Streamer descreve sobretudo forma de produção/distribuição.</w:t>
            </w:r>
          </w:p>
        </w:tc>
      </w:tr>
      <w:tr w14:paraId="51BFF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cantSplit/>
        </w:trPr>
        <w:tc>
          <w:tcPr>
            <w:tcW w:w="1814" w:type="dxa"/>
            <w:tcMar>
              <w:top w:w="80" w:type="dxa"/>
              <w:left w:w="80" w:type="dxa"/>
              <w:bottom w:w="80" w:type="dxa"/>
              <w:right w:w="80" w:type="dxa"/>
            </w:tcMar>
            <w:vAlign w:val="top"/>
          </w:tcPr>
          <w:p w14:paraId="43703E40">
            <w:pPr>
              <w:spacing w:after="0" w:line="240" w:lineRule="auto"/>
              <w:jc w:val="left"/>
            </w:pPr>
            <w:r>
              <w:rPr>
                <w:rFonts w:ascii="Times New Roman" w:hAnsi="Times New Roman"/>
                <w:sz w:val="17"/>
              </w:rPr>
              <w:t>Podcaster</w:t>
            </w:r>
          </w:p>
        </w:tc>
        <w:tc>
          <w:tcPr>
            <w:tcW w:w="1701" w:type="dxa"/>
            <w:tcMar>
              <w:top w:w="80" w:type="dxa"/>
              <w:left w:w="80" w:type="dxa"/>
              <w:bottom w:w="80" w:type="dxa"/>
              <w:right w:w="80" w:type="dxa"/>
            </w:tcMar>
            <w:vAlign w:val="top"/>
          </w:tcPr>
          <w:p w14:paraId="46987005">
            <w:pPr>
              <w:spacing w:after="0" w:line="240" w:lineRule="auto"/>
              <w:jc w:val="left"/>
            </w:pPr>
            <w:r>
              <w:rPr>
                <w:rFonts w:ascii="Times New Roman" w:hAnsi="Times New Roman"/>
                <w:sz w:val="17"/>
              </w:rPr>
              <w:t>Formato/posição</w:t>
            </w:r>
          </w:p>
        </w:tc>
        <w:tc>
          <w:tcPr>
            <w:tcW w:w="4082" w:type="dxa"/>
            <w:tcMar>
              <w:top w:w="80" w:type="dxa"/>
              <w:left w:w="80" w:type="dxa"/>
              <w:bottom w:w="80" w:type="dxa"/>
              <w:right w:w="80" w:type="dxa"/>
            </w:tcMar>
            <w:vAlign w:val="top"/>
          </w:tcPr>
          <w:p w14:paraId="3461B585">
            <w:pPr>
              <w:spacing w:after="0" w:line="240" w:lineRule="auto"/>
              <w:jc w:val="left"/>
            </w:pPr>
            <w:r>
              <w:rPr>
                <w:rFonts w:ascii="Times New Roman" w:hAnsi="Times New Roman"/>
                <w:sz w:val="17"/>
              </w:rPr>
              <w:t>Creator que produz conteúdo episódico em áudio ou vídeo estruturado como podcast.</w:t>
            </w:r>
          </w:p>
        </w:tc>
        <w:tc>
          <w:tcPr>
            <w:tcW w:w="2268" w:type="dxa"/>
            <w:tcMar>
              <w:top w:w="80" w:type="dxa"/>
              <w:left w:w="80" w:type="dxa"/>
              <w:bottom w:w="80" w:type="dxa"/>
              <w:right w:w="80" w:type="dxa"/>
            </w:tcMar>
            <w:vAlign w:val="top"/>
          </w:tcPr>
          <w:p w14:paraId="54C00452">
            <w:pPr>
              <w:spacing w:after="0" w:line="240" w:lineRule="auto"/>
              <w:jc w:val="left"/>
            </w:pPr>
            <w:r>
              <w:rPr>
                <w:rFonts w:ascii="Times New Roman" w:hAnsi="Times New Roman"/>
                <w:sz w:val="17"/>
              </w:rPr>
              <w:t>Pode atuar simultaneamente em outras modalidades.</w:t>
            </w:r>
          </w:p>
        </w:tc>
      </w:tr>
      <w:tr w14:paraId="32A6E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cantSplit/>
        </w:trPr>
        <w:tc>
          <w:tcPr>
            <w:tcW w:w="1814" w:type="dxa"/>
            <w:tcMar>
              <w:top w:w="80" w:type="dxa"/>
              <w:left w:w="80" w:type="dxa"/>
              <w:bottom w:w="80" w:type="dxa"/>
              <w:right w:w="80" w:type="dxa"/>
            </w:tcMar>
            <w:vAlign w:val="top"/>
          </w:tcPr>
          <w:p w14:paraId="25143B28">
            <w:pPr>
              <w:spacing w:after="0" w:line="240" w:lineRule="auto"/>
              <w:jc w:val="left"/>
            </w:pPr>
            <w:r>
              <w:rPr>
                <w:rFonts w:ascii="Times New Roman" w:hAnsi="Times New Roman"/>
                <w:sz w:val="17"/>
              </w:rPr>
              <w:t>Finfluencer</w:t>
            </w:r>
          </w:p>
        </w:tc>
        <w:tc>
          <w:tcPr>
            <w:tcW w:w="1701" w:type="dxa"/>
            <w:tcMar>
              <w:top w:w="80" w:type="dxa"/>
              <w:left w:w="80" w:type="dxa"/>
              <w:bottom w:w="80" w:type="dxa"/>
              <w:right w:w="80" w:type="dxa"/>
            </w:tcMar>
            <w:vAlign w:val="top"/>
          </w:tcPr>
          <w:p w14:paraId="3C0A0CA8">
            <w:pPr>
              <w:spacing w:after="0" w:line="240" w:lineRule="auto"/>
              <w:jc w:val="left"/>
            </w:pPr>
            <w:r>
              <w:rPr>
                <w:rFonts w:ascii="Times New Roman" w:hAnsi="Times New Roman"/>
                <w:sz w:val="17"/>
              </w:rPr>
              <w:t>Agente/posição temática</w:t>
            </w:r>
          </w:p>
        </w:tc>
        <w:tc>
          <w:tcPr>
            <w:tcW w:w="4082" w:type="dxa"/>
            <w:tcMar>
              <w:top w:w="80" w:type="dxa"/>
              <w:left w:w="80" w:type="dxa"/>
              <w:bottom w:w="80" w:type="dxa"/>
              <w:right w:w="80" w:type="dxa"/>
            </w:tcMar>
            <w:vAlign w:val="top"/>
          </w:tcPr>
          <w:p w14:paraId="4A383820">
            <w:pPr>
              <w:spacing w:after="0" w:line="240" w:lineRule="auto"/>
              <w:jc w:val="left"/>
            </w:pPr>
            <w:r>
              <w:rPr>
                <w:rFonts w:ascii="Times New Roman" w:hAnsi="Times New Roman"/>
                <w:sz w:val="17"/>
              </w:rPr>
              <w:t>Creator ou influencer especializado em finanças, investimentos ou temas econômicos relacionados.</w:t>
            </w:r>
          </w:p>
        </w:tc>
        <w:tc>
          <w:tcPr>
            <w:tcW w:w="2268" w:type="dxa"/>
            <w:tcMar>
              <w:top w:w="80" w:type="dxa"/>
              <w:left w:w="80" w:type="dxa"/>
              <w:bottom w:w="80" w:type="dxa"/>
              <w:right w:w="80" w:type="dxa"/>
            </w:tcMar>
            <w:vAlign w:val="top"/>
          </w:tcPr>
          <w:p w14:paraId="2178A993">
            <w:pPr>
              <w:spacing w:after="0" w:line="240" w:lineRule="auto"/>
              <w:jc w:val="left"/>
            </w:pPr>
            <w:r>
              <w:rPr>
                <w:rFonts w:ascii="Times New Roman" w:hAnsi="Times New Roman"/>
                <w:sz w:val="17"/>
              </w:rPr>
              <w:t>A especialização temática não elimina obrigações regulatórias aplicáveis.</w:t>
            </w:r>
          </w:p>
        </w:tc>
      </w:tr>
      <w:tr w14:paraId="6FE46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cantSplit/>
        </w:trPr>
        <w:tc>
          <w:tcPr>
            <w:tcW w:w="1814" w:type="dxa"/>
            <w:tcMar>
              <w:top w:w="80" w:type="dxa"/>
              <w:left w:w="80" w:type="dxa"/>
              <w:bottom w:w="80" w:type="dxa"/>
              <w:right w:w="80" w:type="dxa"/>
            </w:tcMar>
            <w:vAlign w:val="top"/>
          </w:tcPr>
          <w:p w14:paraId="0F98D1E7">
            <w:pPr>
              <w:spacing w:after="0" w:line="240" w:lineRule="auto"/>
              <w:jc w:val="left"/>
            </w:pPr>
            <w:r>
              <w:rPr>
                <w:rFonts w:ascii="Times New Roman" w:hAnsi="Times New Roman"/>
                <w:sz w:val="17"/>
              </w:rPr>
              <w:t>Virtual Influencer</w:t>
            </w:r>
          </w:p>
        </w:tc>
        <w:tc>
          <w:tcPr>
            <w:tcW w:w="1701" w:type="dxa"/>
            <w:tcMar>
              <w:top w:w="80" w:type="dxa"/>
              <w:left w:w="80" w:type="dxa"/>
              <w:bottom w:w="80" w:type="dxa"/>
              <w:right w:w="80" w:type="dxa"/>
            </w:tcMar>
            <w:vAlign w:val="top"/>
          </w:tcPr>
          <w:p w14:paraId="09F141E9">
            <w:pPr>
              <w:spacing w:after="0" w:line="240" w:lineRule="auto"/>
              <w:jc w:val="left"/>
            </w:pPr>
            <w:r>
              <w:rPr>
                <w:rFonts w:ascii="Times New Roman" w:hAnsi="Times New Roman"/>
                <w:sz w:val="17"/>
              </w:rPr>
              <w:t>Agente sintético</w:t>
            </w:r>
          </w:p>
        </w:tc>
        <w:tc>
          <w:tcPr>
            <w:tcW w:w="4082" w:type="dxa"/>
            <w:tcMar>
              <w:top w:w="80" w:type="dxa"/>
              <w:left w:w="80" w:type="dxa"/>
              <w:bottom w:w="80" w:type="dxa"/>
              <w:right w:w="80" w:type="dxa"/>
            </w:tcMar>
            <w:vAlign w:val="top"/>
          </w:tcPr>
          <w:p w14:paraId="1A672966">
            <w:pPr>
              <w:spacing w:after="0" w:line="240" w:lineRule="auto"/>
              <w:jc w:val="left"/>
            </w:pPr>
            <w:r>
              <w:rPr>
                <w:rFonts w:ascii="Times New Roman" w:hAnsi="Times New Roman"/>
                <w:sz w:val="17"/>
              </w:rPr>
              <w:t>Persona digital criada total ou parcialmente por tecnologias digitais, podendo assumir funções de conteúdo, representação ou influência.</w:t>
            </w:r>
          </w:p>
        </w:tc>
        <w:tc>
          <w:tcPr>
            <w:tcW w:w="2268" w:type="dxa"/>
            <w:tcMar>
              <w:top w:w="80" w:type="dxa"/>
              <w:left w:w="80" w:type="dxa"/>
              <w:bottom w:w="80" w:type="dxa"/>
              <w:right w:w="80" w:type="dxa"/>
            </w:tcMar>
            <w:vAlign w:val="top"/>
          </w:tcPr>
          <w:p w14:paraId="51794E62">
            <w:pPr>
              <w:spacing w:after="0" w:line="240" w:lineRule="auto"/>
              <w:jc w:val="left"/>
            </w:pPr>
            <w:r>
              <w:rPr>
                <w:rFonts w:ascii="Times New Roman" w:hAnsi="Times New Roman"/>
                <w:sz w:val="17"/>
              </w:rPr>
              <w:t>Diferenciar persona sintética de simples uso instrumental de IA por creator humano.</w:t>
            </w:r>
          </w:p>
        </w:tc>
      </w:tr>
      <w:tr w14:paraId="25D46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cantSplit/>
        </w:trPr>
        <w:tc>
          <w:tcPr>
            <w:tcW w:w="1814" w:type="dxa"/>
            <w:tcMar>
              <w:top w:w="80" w:type="dxa"/>
              <w:left w:w="80" w:type="dxa"/>
              <w:bottom w:w="80" w:type="dxa"/>
              <w:right w:w="80" w:type="dxa"/>
            </w:tcMar>
            <w:vAlign w:val="top"/>
          </w:tcPr>
          <w:p w14:paraId="2D6F775B">
            <w:pPr>
              <w:spacing w:after="0" w:line="240" w:lineRule="auto"/>
              <w:jc w:val="left"/>
            </w:pPr>
            <w:r>
              <w:rPr>
                <w:rFonts w:ascii="Times New Roman" w:hAnsi="Times New Roman"/>
                <w:sz w:val="17"/>
              </w:rPr>
              <w:t>Brand Ambassador</w:t>
            </w:r>
          </w:p>
        </w:tc>
        <w:tc>
          <w:tcPr>
            <w:tcW w:w="1701" w:type="dxa"/>
            <w:tcMar>
              <w:top w:w="80" w:type="dxa"/>
              <w:left w:w="80" w:type="dxa"/>
              <w:bottom w:w="80" w:type="dxa"/>
              <w:right w:w="80" w:type="dxa"/>
            </w:tcMar>
            <w:vAlign w:val="top"/>
          </w:tcPr>
          <w:p w14:paraId="2890CE51">
            <w:pPr>
              <w:spacing w:after="0" w:line="240" w:lineRule="auto"/>
              <w:jc w:val="left"/>
            </w:pPr>
            <w:r>
              <w:rPr>
                <w:rFonts w:ascii="Times New Roman" w:hAnsi="Times New Roman"/>
                <w:sz w:val="17"/>
              </w:rPr>
              <w:t>Relação econômica</w:t>
            </w:r>
          </w:p>
        </w:tc>
        <w:tc>
          <w:tcPr>
            <w:tcW w:w="4082" w:type="dxa"/>
            <w:tcMar>
              <w:top w:w="80" w:type="dxa"/>
              <w:left w:w="80" w:type="dxa"/>
              <w:bottom w:w="80" w:type="dxa"/>
              <w:right w:w="80" w:type="dxa"/>
            </w:tcMar>
            <w:vAlign w:val="top"/>
          </w:tcPr>
          <w:p w14:paraId="5D03C187">
            <w:pPr>
              <w:spacing w:after="0" w:line="240" w:lineRule="auto"/>
              <w:jc w:val="left"/>
            </w:pPr>
            <w:r>
              <w:rPr>
                <w:rFonts w:ascii="Times New Roman" w:hAnsi="Times New Roman"/>
                <w:sz w:val="17"/>
              </w:rPr>
              <w:t>Pessoa que mantém associação continuada e reconhecível com uma marca, usualmente por período superior a uma ativação pontual.</w:t>
            </w:r>
          </w:p>
        </w:tc>
        <w:tc>
          <w:tcPr>
            <w:tcW w:w="2268" w:type="dxa"/>
            <w:tcMar>
              <w:top w:w="80" w:type="dxa"/>
              <w:left w:w="80" w:type="dxa"/>
              <w:bottom w:w="80" w:type="dxa"/>
              <w:right w:w="80" w:type="dxa"/>
            </w:tcMar>
            <w:vAlign w:val="top"/>
          </w:tcPr>
          <w:p w14:paraId="24236F18">
            <w:pPr>
              <w:spacing w:after="0" w:line="240" w:lineRule="auto"/>
              <w:jc w:val="left"/>
            </w:pPr>
            <w:r>
              <w:rPr>
                <w:rFonts w:ascii="Times New Roman" w:hAnsi="Times New Roman"/>
                <w:sz w:val="17"/>
              </w:rPr>
              <w:t>Diferenciar de campanha isolada ou menção espontânea.</w:t>
            </w:r>
          </w:p>
        </w:tc>
      </w:tr>
      <w:tr w14:paraId="367E0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cantSplit/>
        </w:trPr>
        <w:tc>
          <w:tcPr>
            <w:tcW w:w="1814" w:type="dxa"/>
            <w:tcMar>
              <w:top w:w="80" w:type="dxa"/>
              <w:left w:w="80" w:type="dxa"/>
              <w:bottom w:w="80" w:type="dxa"/>
              <w:right w:w="80" w:type="dxa"/>
            </w:tcMar>
            <w:vAlign w:val="top"/>
          </w:tcPr>
          <w:p w14:paraId="3C4B2A02">
            <w:pPr>
              <w:spacing w:after="0" w:line="240" w:lineRule="auto"/>
              <w:jc w:val="left"/>
            </w:pPr>
            <w:r>
              <w:rPr>
                <w:rFonts w:ascii="Times New Roman" w:hAnsi="Times New Roman"/>
                <w:sz w:val="17"/>
              </w:rPr>
              <w:t>Afiliado</w:t>
            </w:r>
          </w:p>
        </w:tc>
        <w:tc>
          <w:tcPr>
            <w:tcW w:w="1701" w:type="dxa"/>
            <w:tcMar>
              <w:top w:w="80" w:type="dxa"/>
              <w:left w:w="80" w:type="dxa"/>
              <w:bottom w:w="80" w:type="dxa"/>
              <w:right w:w="80" w:type="dxa"/>
            </w:tcMar>
            <w:vAlign w:val="top"/>
          </w:tcPr>
          <w:p w14:paraId="1A78CF7A">
            <w:pPr>
              <w:spacing w:after="0" w:line="240" w:lineRule="auto"/>
              <w:jc w:val="left"/>
            </w:pPr>
            <w:r>
              <w:rPr>
                <w:rFonts w:ascii="Times New Roman" w:hAnsi="Times New Roman"/>
                <w:sz w:val="17"/>
              </w:rPr>
              <w:t>Relação + monetização</w:t>
            </w:r>
          </w:p>
        </w:tc>
        <w:tc>
          <w:tcPr>
            <w:tcW w:w="4082" w:type="dxa"/>
            <w:tcMar>
              <w:top w:w="80" w:type="dxa"/>
              <w:left w:w="80" w:type="dxa"/>
              <w:bottom w:w="80" w:type="dxa"/>
              <w:right w:w="80" w:type="dxa"/>
            </w:tcMar>
            <w:vAlign w:val="top"/>
          </w:tcPr>
          <w:p w14:paraId="1A831467">
            <w:pPr>
              <w:spacing w:after="0" w:line="240" w:lineRule="auto"/>
              <w:jc w:val="left"/>
            </w:pPr>
            <w:r>
              <w:rPr>
                <w:rFonts w:ascii="Times New Roman" w:hAnsi="Times New Roman"/>
                <w:sz w:val="17"/>
              </w:rPr>
              <w:t>Participante de relação comercial em que a remuneração está vinculada, total ou parcialmente, a resultado mensurável como clique, lead ou venda.</w:t>
            </w:r>
          </w:p>
        </w:tc>
        <w:tc>
          <w:tcPr>
            <w:tcW w:w="2268" w:type="dxa"/>
            <w:tcMar>
              <w:top w:w="80" w:type="dxa"/>
              <w:left w:w="80" w:type="dxa"/>
              <w:bottom w:w="80" w:type="dxa"/>
              <w:right w:w="80" w:type="dxa"/>
            </w:tcMar>
            <w:vAlign w:val="top"/>
          </w:tcPr>
          <w:p w14:paraId="4A2911BA">
            <w:pPr>
              <w:spacing w:after="0" w:line="240" w:lineRule="auto"/>
              <w:jc w:val="left"/>
            </w:pPr>
            <w:r>
              <w:rPr>
                <w:rFonts w:ascii="Times New Roman" w:hAnsi="Times New Roman"/>
                <w:sz w:val="17"/>
              </w:rPr>
              <w:t>Afiliado não é necessariamente influencer ou creator.</w:t>
            </w:r>
          </w:p>
        </w:tc>
      </w:tr>
      <w:tr w14:paraId="14E46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cantSplit/>
        </w:trPr>
        <w:tc>
          <w:tcPr>
            <w:tcW w:w="1814" w:type="dxa"/>
            <w:tcMar>
              <w:top w:w="80" w:type="dxa"/>
              <w:left w:w="80" w:type="dxa"/>
              <w:bottom w:w="80" w:type="dxa"/>
              <w:right w:w="80" w:type="dxa"/>
            </w:tcMar>
            <w:vAlign w:val="top"/>
          </w:tcPr>
          <w:p w14:paraId="46CE6A94">
            <w:pPr>
              <w:spacing w:after="0" w:line="240" w:lineRule="auto"/>
              <w:jc w:val="left"/>
            </w:pPr>
            <w:r>
              <w:rPr>
                <w:rFonts w:ascii="Times New Roman" w:hAnsi="Times New Roman"/>
                <w:sz w:val="17"/>
              </w:rPr>
              <w:t>Branded Content</w:t>
            </w:r>
          </w:p>
        </w:tc>
        <w:tc>
          <w:tcPr>
            <w:tcW w:w="1701" w:type="dxa"/>
            <w:tcMar>
              <w:top w:w="80" w:type="dxa"/>
              <w:left w:w="80" w:type="dxa"/>
              <w:bottom w:w="80" w:type="dxa"/>
              <w:right w:w="80" w:type="dxa"/>
            </w:tcMar>
            <w:vAlign w:val="top"/>
          </w:tcPr>
          <w:p w14:paraId="7073A987">
            <w:pPr>
              <w:spacing w:after="0" w:line="240" w:lineRule="auto"/>
              <w:jc w:val="left"/>
            </w:pPr>
            <w:r>
              <w:rPr>
                <w:rFonts w:ascii="Times New Roman" w:hAnsi="Times New Roman"/>
                <w:sz w:val="17"/>
              </w:rPr>
              <w:t>Relação/conteúdo</w:t>
            </w:r>
          </w:p>
        </w:tc>
        <w:tc>
          <w:tcPr>
            <w:tcW w:w="4082" w:type="dxa"/>
            <w:tcMar>
              <w:top w:w="80" w:type="dxa"/>
              <w:left w:w="80" w:type="dxa"/>
              <w:bottom w:w="80" w:type="dxa"/>
              <w:right w:w="80" w:type="dxa"/>
            </w:tcMar>
            <w:vAlign w:val="top"/>
          </w:tcPr>
          <w:p w14:paraId="4840CD82">
            <w:pPr>
              <w:spacing w:after="0" w:line="240" w:lineRule="auto"/>
              <w:jc w:val="left"/>
            </w:pPr>
            <w:r>
              <w:rPr>
                <w:rFonts w:ascii="Times New Roman" w:hAnsi="Times New Roman"/>
                <w:sz w:val="17"/>
              </w:rPr>
              <w:t>Conteúdo desenvolvido com participação, financiamento ou integração de marca de modo planejado, preservando lógica editorial ou narrativa específica.</w:t>
            </w:r>
          </w:p>
        </w:tc>
        <w:tc>
          <w:tcPr>
            <w:tcW w:w="2268" w:type="dxa"/>
            <w:tcMar>
              <w:top w:w="80" w:type="dxa"/>
              <w:left w:w="80" w:type="dxa"/>
              <w:bottom w:w="80" w:type="dxa"/>
              <w:right w:w="80" w:type="dxa"/>
            </w:tcMar>
            <w:vAlign w:val="top"/>
          </w:tcPr>
          <w:p w14:paraId="6C69E1B4">
            <w:pPr>
              <w:spacing w:after="0" w:line="240" w:lineRule="auto"/>
              <w:jc w:val="left"/>
            </w:pPr>
            <w:r>
              <w:rPr>
                <w:rFonts w:ascii="Times New Roman" w:hAnsi="Times New Roman"/>
                <w:sz w:val="17"/>
              </w:rPr>
              <w:t>A forma visual não define sozinha a natureza econômica.</w:t>
            </w:r>
          </w:p>
        </w:tc>
      </w:tr>
      <w:tr w14:paraId="12593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cantSplit/>
        </w:trPr>
        <w:tc>
          <w:tcPr>
            <w:tcW w:w="1814" w:type="dxa"/>
            <w:tcMar>
              <w:top w:w="80" w:type="dxa"/>
              <w:left w:w="80" w:type="dxa"/>
              <w:bottom w:w="80" w:type="dxa"/>
              <w:right w:w="80" w:type="dxa"/>
            </w:tcMar>
            <w:vAlign w:val="top"/>
          </w:tcPr>
          <w:p w14:paraId="623CA3BE">
            <w:pPr>
              <w:spacing w:after="0" w:line="240" w:lineRule="auto"/>
              <w:jc w:val="left"/>
            </w:pPr>
            <w:r>
              <w:rPr>
                <w:rFonts w:ascii="Times New Roman" w:hAnsi="Times New Roman"/>
                <w:sz w:val="17"/>
              </w:rPr>
              <w:t>Publipost</w:t>
            </w:r>
          </w:p>
        </w:tc>
        <w:tc>
          <w:tcPr>
            <w:tcW w:w="1701" w:type="dxa"/>
            <w:tcMar>
              <w:top w:w="80" w:type="dxa"/>
              <w:left w:w="80" w:type="dxa"/>
              <w:bottom w:w="80" w:type="dxa"/>
              <w:right w:w="80" w:type="dxa"/>
            </w:tcMar>
            <w:vAlign w:val="top"/>
          </w:tcPr>
          <w:p w14:paraId="1015737A">
            <w:pPr>
              <w:spacing w:after="0" w:line="240" w:lineRule="auto"/>
              <w:jc w:val="left"/>
            </w:pPr>
            <w:r>
              <w:rPr>
                <w:rFonts w:ascii="Times New Roman" w:hAnsi="Times New Roman"/>
                <w:sz w:val="17"/>
              </w:rPr>
              <w:t>Relação/conteúdo</w:t>
            </w:r>
          </w:p>
        </w:tc>
        <w:tc>
          <w:tcPr>
            <w:tcW w:w="4082" w:type="dxa"/>
            <w:tcMar>
              <w:top w:w="80" w:type="dxa"/>
              <w:left w:w="80" w:type="dxa"/>
              <w:bottom w:w="80" w:type="dxa"/>
              <w:right w:w="80" w:type="dxa"/>
            </w:tcMar>
            <w:vAlign w:val="top"/>
          </w:tcPr>
          <w:p w14:paraId="3C7C90DE">
            <w:pPr>
              <w:spacing w:after="0" w:line="240" w:lineRule="auto"/>
              <w:jc w:val="left"/>
            </w:pPr>
            <w:r>
              <w:rPr>
                <w:rFonts w:ascii="Times New Roman" w:hAnsi="Times New Roman"/>
                <w:sz w:val="17"/>
              </w:rPr>
              <w:t>Conteúdo de divulgação publicitária produzido para ambiente digital, associado a relação comercial ou benefício material e sujeito a deveres de transparência.</w:t>
            </w:r>
          </w:p>
        </w:tc>
        <w:tc>
          <w:tcPr>
            <w:tcW w:w="2268" w:type="dxa"/>
            <w:tcMar>
              <w:top w:w="80" w:type="dxa"/>
              <w:left w:w="80" w:type="dxa"/>
              <w:bottom w:w="80" w:type="dxa"/>
              <w:right w:w="80" w:type="dxa"/>
            </w:tcMar>
            <w:vAlign w:val="top"/>
          </w:tcPr>
          <w:p w14:paraId="774A6FE0">
            <w:pPr>
              <w:spacing w:after="0" w:line="240" w:lineRule="auto"/>
              <w:jc w:val="left"/>
            </w:pPr>
            <w:r>
              <w:rPr>
                <w:rFonts w:ascii="Times New Roman" w:hAnsi="Times New Roman"/>
                <w:sz w:val="17"/>
              </w:rPr>
              <w:t>Não confundir com recomendação espontânea sem vínculo.</w:t>
            </w:r>
          </w:p>
        </w:tc>
      </w:tr>
      <w:tr w14:paraId="6B100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cantSplit/>
        </w:trPr>
        <w:tc>
          <w:tcPr>
            <w:tcW w:w="1814" w:type="dxa"/>
            <w:tcMar>
              <w:top w:w="80" w:type="dxa"/>
              <w:left w:w="80" w:type="dxa"/>
              <w:bottom w:w="80" w:type="dxa"/>
              <w:right w:w="80" w:type="dxa"/>
            </w:tcMar>
            <w:vAlign w:val="top"/>
          </w:tcPr>
          <w:p w14:paraId="69072B2F">
            <w:pPr>
              <w:spacing w:after="0" w:line="240" w:lineRule="auto"/>
              <w:jc w:val="left"/>
            </w:pPr>
            <w:r>
              <w:rPr>
                <w:rFonts w:ascii="Times New Roman" w:hAnsi="Times New Roman"/>
                <w:sz w:val="17"/>
              </w:rPr>
              <w:t>Sponsorship</w:t>
            </w:r>
          </w:p>
        </w:tc>
        <w:tc>
          <w:tcPr>
            <w:tcW w:w="1701" w:type="dxa"/>
            <w:tcMar>
              <w:top w:w="80" w:type="dxa"/>
              <w:left w:w="80" w:type="dxa"/>
              <w:bottom w:w="80" w:type="dxa"/>
              <w:right w:w="80" w:type="dxa"/>
            </w:tcMar>
            <w:vAlign w:val="top"/>
          </w:tcPr>
          <w:p w14:paraId="3834ED13">
            <w:pPr>
              <w:spacing w:after="0" w:line="240" w:lineRule="auto"/>
              <w:jc w:val="left"/>
            </w:pPr>
            <w:r>
              <w:rPr>
                <w:rFonts w:ascii="Times New Roman" w:hAnsi="Times New Roman"/>
                <w:sz w:val="17"/>
              </w:rPr>
              <w:t>Relação econômica</w:t>
            </w:r>
          </w:p>
        </w:tc>
        <w:tc>
          <w:tcPr>
            <w:tcW w:w="4082" w:type="dxa"/>
            <w:tcMar>
              <w:top w:w="80" w:type="dxa"/>
              <w:left w:w="80" w:type="dxa"/>
              <w:bottom w:w="80" w:type="dxa"/>
              <w:right w:w="80" w:type="dxa"/>
            </w:tcMar>
            <w:vAlign w:val="top"/>
          </w:tcPr>
          <w:p w14:paraId="68E62B38">
            <w:pPr>
              <w:spacing w:after="0" w:line="240" w:lineRule="auto"/>
              <w:jc w:val="left"/>
            </w:pPr>
            <w:r>
              <w:rPr>
                <w:rFonts w:ascii="Times New Roman" w:hAnsi="Times New Roman"/>
                <w:sz w:val="17"/>
              </w:rPr>
              <w:t>Financiamento ou apoio econômico a conteúdo, projeto, evento, série ou iniciativa, com contrapartidas definidas.</w:t>
            </w:r>
          </w:p>
        </w:tc>
        <w:tc>
          <w:tcPr>
            <w:tcW w:w="2268" w:type="dxa"/>
            <w:tcMar>
              <w:top w:w="80" w:type="dxa"/>
              <w:left w:w="80" w:type="dxa"/>
              <w:bottom w:w="80" w:type="dxa"/>
              <w:right w:w="80" w:type="dxa"/>
            </w:tcMar>
            <w:vAlign w:val="top"/>
          </w:tcPr>
          <w:p w14:paraId="788F84A8">
            <w:pPr>
              <w:spacing w:after="0" w:line="240" w:lineRule="auto"/>
              <w:jc w:val="left"/>
            </w:pPr>
            <w:r>
              <w:rPr>
                <w:rFonts w:ascii="Times New Roman" w:hAnsi="Times New Roman"/>
                <w:sz w:val="17"/>
              </w:rPr>
              <w:t>Pode coexistir com outras formas de publicidade.</w:t>
            </w:r>
          </w:p>
        </w:tc>
      </w:tr>
      <w:tr w14:paraId="2D4EE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cantSplit/>
        </w:trPr>
        <w:tc>
          <w:tcPr>
            <w:tcW w:w="1814" w:type="dxa"/>
            <w:tcMar>
              <w:top w:w="80" w:type="dxa"/>
              <w:left w:w="80" w:type="dxa"/>
              <w:bottom w:w="80" w:type="dxa"/>
              <w:right w:w="80" w:type="dxa"/>
            </w:tcMar>
            <w:vAlign w:val="top"/>
          </w:tcPr>
          <w:p w14:paraId="3F547115">
            <w:pPr>
              <w:spacing w:after="0" w:line="240" w:lineRule="auto"/>
              <w:jc w:val="left"/>
            </w:pPr>
            <w:r>
              <w:rPr>
                <w:rFonts w:ascii="Times New Roman" w:hAnsi="Times New Roman"/>
                <w:sz w:val="17"/>
              </w:rPr>
              <w:t>Social Commerce</w:t>
            </w:r>
          </w:p>
        </w:tc>
        <w:tc>
          <w:tcPr>
            <w:tcW w:w="1701" w:type="dxa"/>
            <w:tcMar>
              <w:top w:w="80" w:type="dxa"/>
              <w:left w:w="80" w:type="dxa"/>
              <w:bottom w:w="80" w:type="dxa"/>
              <w:right w:w="80" w:type="dxa"/>
            </w:tcMar>
            <w:vAlign w:val="top"/>
          </w:tcPr>
          <w:p w14:paraId="261985AD">
            <w:pPr>
              <w:spacing w:after="0" w:line="240" w:lineRule="auto"/>
              <w:jc w:val="left"/>
            </w:pPr>
            <w:r>
              <w:rPr>
                <w:rFonts w:ascii="Times New Roman" w:hAnsi="Times New Roman"/>
                <w:sz w:val="17"/>
              </w:rPr>
              <w:t>Negócio/monetização</w:t>
            </w:r>
          </w:p>
        </w:tc>
        <w:tc>
          <w:tcPr>
            <w:tcW w:w="4082" w:type="dxa"/>
            <w:tcMar>
              <w:top w:w="80" w:type="dxa"/>
              <w:left w:w="80" w:type="dxa"/>
              <w:bottom w:w="80" w:type="dxa"/>
              <w:right w:w="80" w:type="dxa"/>
            </w:tcMar>
            <w:vAlign w:val="top"/>
          </w:tcPr>
          <w:p w14:paraId="6BC7DD9F">
            <w:pPr>
              <w:spacing w:after="0" w:line="240" w:lineRule="auto"/>
              <w:jc w:val="left"/>
            </w:pPr>
            <w:r>
              <w:rPr>
                <w:rFonts w:ascii="Times New Roman" w:hAnsi="Times New Roman"/>
                <w:sz w:val="17"/>
              </w:rPr>
              <w:t>Processos de descoberta, promoção e compra de produtos ou serviços integrados a ambientes sociais digitais.</w:t>
            </w:r>
          </w:p>
        </w:tc>
        <w:tc>
          <w:tcPr>
            <w:tcW w:w="2268" w:type="dxa"/>
            <w:tcMar>
              <w:top w:w="80" w:type="dxa"/>
              <w:left w:w="80" w:type="dxa"/>
              <w:bottom w:w="80" w:type="dxa"/>
              <w:right w:w="80" w:type="dxa"/>
            </w:tcMar>
            <w:vAlign w:val="top"/>
          </w:tcPr>
          <w:p w14:paraId="51CF3037">
            <w:pPr>
              <w:spacing w:after="0" w:line="240" w:lineRule="auto"/>
              <w:jc w:val="left"/>
            </w:pPr>
            <w:r>
              <w:rPr>
                <w:rFonts w:ascii="Times New Roman" w:hAnsi="Times New Roman"/>
                <w:sz w:val="17"/>
              </w:rPr>
              <w:t>Pode envolver creator, marca, plataforma ou afiliado.</w:t>
            </w:r>
          </w:p>
        </w:tc>
      </w:tr>
      <w:tr w14:paraId="25EA9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cantSplit/>
        </w:trPr>
        <w:tc>
          <w:tcPr>
            <w:tcW w:w="1814" w:type="dxa"/>
            <w:tcMar>
              <w:top w:w="80" w:type="dxa"/>
              <w:left w:w="80" w:type="dxa"/>
              <w:bottom w:w="80" w:type="dxa"/>
              <w:right w:w="80" w:type="dxa"/>
            </w:tcMar>
            <w:vAlign w:val="top"/>
          </w:tcPr>
          <w:p w14:paraId="6F3A817E">
            <w:pPr>
              <w:spacing w:after="0" w:line="240" w:lineRule="auto"/>
              <w:jc w:val="left"/>
            </w:pPr>
            <w:r>
              <w:rPr>
                <w:rFonts w:ascii="Times New Roman" w:hAnsi="Times New Roman"/>
                <w:sz w:val="17"/>
              </w:rPr>
              <w:t>Live Commerce</w:t>
            </w:r>
          </w:p>
        </w:tc>
        <w:tc>
          <w:tcPr>
            <w:tcW w:w="1701" w:type="dxa"/>
            <w:tcMar>
              <w:top w:w="80" w:type="dxa"/>
              <w:left w:w="80" w:type="dxa"/>
              <w:bottom w:w="80" w:type="dxa"/>
              <w:right w:w="80" w:type="dxa"/>
            </w:tcMar>
            <w:vAlign w:val="top"/>
          </w:tcPr>
          <w:p w14:paraId="3B3F6315">
            <w:pPr>
              <w:spacing w:after="0" w:line="240" w:lineRule="auto"/>
              <w:jc w:val="left"/>
            </w:pPr>
            <w:r>
              <w:rPr>
                <w:rFonts w:ascii="Times New Roman" w:hAnsi="Times New Roman"/>
                <w:sz w:val="17"/>
              </w:rPr>
              <w:t>Formato + negócio</w:t>
            </w:r>
          </w:p>
        </w:tc>
        <w:tc>
          <w:tcPr>
            <w:tcW w:w="4082" w:type="dxa"/>
            <w:tcMar>
              <w:top w:w="80" w:type="dxa"/>
              <w:left w:w="80" w:type="dxa"/>
              <w:bottom w:w="80" w:type="dxa"/>
              <w:right w:w="80" w:type="dxa"/>
            </w:tcMar>
            <w:vAlign w:val="top"/>
          </w:tcPr>
          <w:p w14:paraId="20CAFA9E">
            <w:pPr>
              <w:spacing w:after="0" w:line="240" w:lineRule="auto"/>
              <w:jc w:val="left"/>
            </w:pPr>
            <w:r>
              <w:rPr>
                <w:rFonts w:ascii="Times New Roman" w:hAnsi="Times New Roman"/>
                <w:sz w:val="17"/>
              </w:rPr>
              <w:t>Venda ou promoção comercial realizada em transmissão ao vivo, frequentemente combinando demonstração, interação e mecanismos de compra.</w:t>
            </w:r>
          </w:p>
        </w:tc>
        <w:tc>
          <w:tcPr>
            <w:tcW w:w="2268" w:type="dxa"/>
            <w:tcMar>
              <w:top w:w="80" w:type="dxa"/>
              <w:left w:w="80" w:type="dxa"/>
              <w:bottom w:w="80" w:type="dxa"/>
              <w:right w:w="80" w:type="dxa"/>
            </w:tcMar>
            <w:vAlign w:val="top"/>
          </w:tcPr>
          <w:p w14:paraId="4FD96F42">
            <w:pPr>
              <w:spacing w:after="0" w:line="240" w:lineRule="auto"/>
              <w:jc w:val="left"/>
            </w:pPr>
            <w:r>
              <w:rPr>
                <w:rFonts w:ascii="Times New Roman" w:hAnsi="Times New Roman"/>
                <w:sz w:val="17"/>
              </w:rPr>
              <w:t>É formato comercial, não identidade profissional.</w:t>
            </w:r>
          </w:p>
        </w:tc>
      </w:tr>
      <w:tr w14:paraId="297C6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cantSplit/>
        </w:trPr>
        <w:tc>
          <w:tcPr>
            <w:tcW w:w="1814" w:type="dxa"/>
            <w:tcMar>
              <w:top w:w="80" w:type="dxa"/>
              <w:left w:w="80" w:type="dxa"/>
              <w:bottom w:w="80" w:type="dxa"/>
              <w:right w:w="80" w:type="dxa"/>
            </w:tcMar>
            <w:vAlign w:val="top"/>
          </w:tcPr>
          <w:p w14:paraId="0E4A7276">
            <w:pPr>
              <w:spacing w:after="0" w:line="240" w:lineRule="auto"/>
              <w:jc w:val="left"/>
            </w:pPr>
            <w:r>
              <w:rPr>
                <w:rFonts w:ascii="Times New Roman" w:hAnsi="Times New Roman"/>
                <w:sz w:val="17"/>
              </w:rPr>
              <w:t>Revenue Share</w:t>
            </w:r>
          </w:p>
        </w:tc>
        <w:tc>
          <w:tcPr>
            <w:tcW w:w="1701" w:type="dxa"/>
            <w:tcMar>
              <w:top w:w="80" w:type="dxa"/>
              <w:left w:w="80" w:type="dxa"/>
              <w:bottom w:w="80" w:type="dxa"/>
              <w:right w:w="80" w:type="dxa"/>
            </w:tcMar>
            <w:vAlign w:val="top"/>
          </w:tcPr>
          <w:p w14:paraId="39EFF65D">
            <w:pPr>
              <w:spacing w:after="0" w:line="240" w:lineRule="auto"/>
              <w:jc w:val="left"/>
            </w:pPr>
            <w:r>
              <w:rPr>
                <w:rFonts w:ascii="Times New Roman" w:hAnsi="Times New Roman"/>
                <w:sz w:val="17"/>
              </w:rPr>
              <w:t>Monetização</w:t>
            </w:r>
          </w:p>
        </w:tc>
        <w:tc>
          <w:tcPr>
            <w:tcW w:w="4082" w:type="dxa"/>
            <w:tcMar>
              <w:top w:w="80" w:type="dxa"/>
              <w:left w:w="80" w:type="dxa"/>
              <w:bottom w:w="80" w:type="dxa"/>
              <w:right w:w="80" w:type="dxa"/>
            </w:tcMar>
            <w:vAlign w:val="top"/>
          </w:tcPr>
          <w:p w14:paraId="608085E2">
            <w:pPr>
              <w:spacing w:after="0" w:line="240" w:lineRule="auto"/>
              <w:jc w:val="left"/>
            </w:pPr>
            <w:r>
              <w:rPr>
                <w:rFonts w:ascii="Times New Roman" w:hAnsi="Times New Roman"/>
                <w:sz w:val="17"/>
              </w:rPr>
              <w:t>Modelo de remuneração em que creator ou parceiro recebe parcela de receita gerada por determinado conteúdo, audiência, publicidade ou transação.</w:t>
            </w:r>
          </w:p>
        </w:tc>
        <w:tc>
          <w:tcPr>
            <w:tcW w:w="2268" w:type="dxa"/>
            <w:tcMar>
              <w:top w:w="80" w:type="dxa"/>
              <w:left w:w="80" w:type="dxa"/>
              <w:bottom w:w="80" w:type="dxa"/>
              <w:right w:w="80" w:type="dxa"/>
            </w:tcMar>
            <w:vAlign w:val="top"/>
          </w:tcPr>
          <w:p w14:paraId="576AE69E">
            <w:pPr>
              <w:spacing w:after="0" w:line="240" w:lineRule="auto"/>
              <w:jc w:val="left"/>
            </w:pPr>
            <w:r>
              <w:rPr>
                <w:rFonts w:ascii="Times New Roman" w:hAnsi="Times New Roman"/>
                <w:sz w:val="17"/>
              </w:rPr>
              <w:t>Diferenciar de fee fixo.</w:t>
            </w:r>
          </w:p>
        </w:tc>
      </w:tr>
      <w:tr w14:paraId="6C622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cantSplit/>
        </w:trPr>
        <w:tc>
          <w:tcPr>
            <w:tcW w:w="1814" w:type="dxa"/>
            <w:tcMar>
              <w:top w:w="80" w:type="dxa"/>
              <w:left w:w="80" w:type="dxa"/>
              <w:bottom w:w="80" w:type="dxa"/>
              <w:right w:w="80" w:type="dxa"/>
            </w:tcMar>
            <w:vAlign w:val="top"/>
          </w:tcPr>
          <w:p w14:paraId="1D3A6F90">
            <w:pPr>
              <w:spacing w:after="0" w:line="240" w:lineRule="auto"/>
              <w:jc w:val="left"/>
            </w:pPr>
            <w:r>
              <w:rPr>
                <w:rFonts w:ascii="Times New Roman" w:hAnsi="Times New Roman"/>
                <w:sz w:val="17"/>
              </w:rPr>
              <w:t>Creator Entrepreneur</w:t>
            </w:r>
          </w:p>
        </w:tc>
        <w:tc>
          <w:tcPr>
            <w:tcW w:w="1701" w:type="dxa"/>
            <w:tcMar>
              <w:top w:w="80" w:type="dxa"/>
              <w:left w:w="80" w:type="dxa"/>
              <w:bottom w:w="80" w:type="dxa"/>
              <w:right w:w="80" w:type="dxa"/>
            </w:tcMar>
            <w:vAlign w:val="top"/>
          </w:tcPr>
          <w:p w14:paraId="7C4B3837">
            <w:pPr>
              <w:spacing w:after="0" w:line="240" w:lineRule="auto"/>
              <w:jc w:val="left"/>
            </w:pPr>
            <w:r>
              <w:rPr>
                <w:rFonts w:ascii="Times New Roman" w:hAnsi="Times New Roman"/>
                <w:sz w:val="17"/>
              </w:rPr>
              <w:t>Agente + negócio</w:t>
            </w:r>
          </w:p>
        </w:tc>
        <w:tc>
          <w:tcPr>
            <w:tcW w:w="4082" w:type="dxa"/>
            <w:tcMar>
              <w:top w:w="80" w:type="dxa"/>
              <w:left w:w="80" w:type="dxa"/>
              <w:bottom w:w="80" w:type="dxa"/>
              <w:right w:w="80" w:type="dxa"/>
            </w:tcMar>
            <w:vAlign w:val="top"/>
          </w:tcPr>
          <w:p w14:paraId="66134CA0">
            <w:pPr>
              <w:spacing w:after="0" w:line="240" w:lineRule="auto"/>
              <w:jc w:val="left"/>
            </w:pPr>
            <w:r>
              <w:rPr>
                <w:rFonts w:ascii="Times New Roman" w:hAnsi="Times New Roman"/>
                <w:sz w:val="17"/>
              </w:rPr>
              <w:t>Creator que transforma conteúdo, conhecimento, audiência, comunidade, marca ou propriedade intelectual em empreendimento estruturado.</w:t>
            </w:r>
          </w:p>
        </w:tc>
        <w:tc>
          <w:tcPr>
            <w:tcW w:w="2268" w:type="dxa"/>
            <w:tcMar>
              <w:top w:w="80" w:type="dxa"/>
              <w:left w:w="80" w:type="dxa"/>
              <w:bottom w:w="80" w:type="dxa"/>
              <w:right w:w="80" w:type="dxa"/>
            </w:tcMar>
            <w:vAlign w:val="top"/>
          </w:tcPr>
          <w:p w14:paraId="1E7B1DE4">
            <w:pPr>
              <w:spacing w:after="0" w:line="240" w:lineRule="auto"/>
              <w:jc w:val="left"/>
            </w:pPr>
            <w:r>
              <w:rPr>
                <w:rFonts w:ascii="Times New Roman" w:hAnsi="Times New Roman"/>
                <w:sz w:val="17"/>
              </w:rPr>
              <w:t>Empreendedorismo é configuração de negócio, não formato.</w:t>
            </w:r>
          </w:p>
        </w:tc>
      </w:tr>
      <w:tr w14:paraId="2C06B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cantSplit/>
        </w:trPr>
        <w:tc>
          <w:tcPr>
            <w:tcW w:w="1814" w:type="dxa"/>
            <w:tcMar>
              <w:top w:w="80" w:type="dxa"/>
              <w:left w:w="80" w:type="dxa"/>
              <w:bottom w:w="80" w:type="dxa"/>
              <w:right w:w="80" w:type="dxa"/>
            </w:tcMar>
            <w:vAlign w:val="top"/>
          </w:tcPr>
          <w:p w14:paraId="0A462C1B">
            <w:pPr>
              <w:spacing w:after="0" w:line="240" w:lineRule="auto"/>
              <w:jc w:val="left"/>
            </w:pPr>
            <w:r>
              <w:rPr>
                <w:rFonts w:ascii="Times New Roman" w:hAnsi="Times New Roman"/>
                <w:sz w:val="17"/>
              </w:rPr>
              <w:t>Creator Marketplace</w:t>
            </w:r>
          </w:p>
        </w:tc>
        <w:tc>
          <w:tcPr>
            <w:tcW w:w="1701" w:type="dxa"/>
            <w:tcMar>
              <w:top w:w="80" w:type="dxa"/>
              <w:left w:w="80" w:type="dxa"/>
              <w:bottom w:w="80" w:type="dxa"/>
              <w:right w:w="80" w:type="dxa"/>
            </w:tcMar>
            <w:vAlign w:val="top"/>
          </w:tcPr>
          <w:p w14:paraId="2B407A08">
            <w:pPr>
              <w:spacing w:after="0" w:line="240" w:lineRule="auto"/>
              <w:jc w:val="left"/>
            </w:pPr>
            <w:r>
              <w:rPr>
                <w:rFonts w:ascii="Times New Roman" w:hAnsi="Times New Roman"/>
                <w:sz w:val="17"/>
              </w:rPr>
              <w:t>Intermediação</w:t>
            </w:r>
          </w:p>
        </w:tc>
        <w:tc>
          <w:tcPr>
            <w:tcW w:w="4082" w:type="dxa"/>
            <w:tcMar>
              <w:top w:w="80" w:type="dxa"/>
              <w:left w:w="80" w:type="dxa"/>
              <w:bottom w:w="80" w:type="dxa"/>
              <w:right w:w="80" w:type="dxa"/>
            </w:tcMar>
            <w:vAlign w:val="top"/>
          </w:tcPr>
          <w:p w14:paraId="0A8824C1">
            <w:pPr>
              <w:spacing w:after="0" w:line="240" w:lineRule="auto"/>
              <w:jc w:val="left"/>
            </w:pPr>
            <w:r>
              <w:rPr>
                <w:rFonts w:ascii="Times New Roman" w:hAnsi="Times New Roman"/>
                <w:sz w:val="17"/>
              </w:rPr>
              <w:t>Infraestrutura ou plataforma que conecta creators a oportunidades, marcas, campanhas, serviços ou transações.</w:t>
            </w:r>
          </w:p>
        </w:tc>
        <w:tc>
          <w:tcPr>
            <w:tcW w:w="2268" w:type="dxa"/>
            <w:tcMar>
              <w:top w:w="80" w:type="dxa"/>
              <w:left w:w="80" w:type="dxa"/>
              <w:bottom w:w="80" w:type="dxa"/>
              <w:right w:w="80" w:type="dxa"/>
            </w:tcMar>
            <w:vAlign w:val="top"/>
          </w:tcPr>
          <w:p w14:paraId="20928267">
            <w:pPr>
              <w:spacing w:after="0" w:line="240" w:lineRule="auto"/>
              <w:jc w:val="left"/>
            </w:pPr>
            <w:r>
              <w:rPr>
                <w:rFonts w:ascii="Times New Roman" w:hAnsi="Times New Roman"/>
                <w:sz w:val="17"/>
              </w:rPr>
              <w:t>Não é categoria de creator.</w:t>
            </w:r>
          </w:p>
        </w:tc>
      </w:tr>
      <w:tr w14:paraId="303C8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cantSplit/>
        </w:trPr>
        <w:tc>
          <w:tcPr>
            <w:tcW w:w="1814" w:type="dxa"/>
            <w:tcMar>
              <w:top w:w="80" w:type="dxa"/>
              <w:left w:w="80" w:type="dxa"/>
              <w:bottom w:w="80" w:type="dxa"/>
              <w:right w:w="80" w:type="dxa"/>
            </w:tcMar>
            <w:vAlign w:val="top"/>
          </w:tcPr>
          <w:p w14:paraId="271301BF">
            <w:pPr>
              <w:spacing w:after="0" w:line="240" w:lineRule="auto"/>
              <w:jc w:val="left"/>
            </w:pPr>
            <w:r>
              <w:rPr>
                <w:rFonts w:ascii="Times New Roman" w:hAnsi="Times New Roman"/>
                <w:sz w:val="17"/>
              </w:rPr>
              <w:t xml:space="preserve">Economia da criação de conteúdo</w:t>
            </w:r>
          </w:p>
        </w:tc>
        <w:tc>
          <w:tcPr>
            <w:tcW w:w="1701" w:type="dxa"/>
            <w:tcMar>
              <w:top w:w="80" w:type="dxa"/>
              <w:left w:w="80" w:type="dxa"/>
              <w:bottom w:w="80" w:type="dxa"/>
              <w:right w:w="80" w:type="dxa"/>
            </w:tcMar>
            <w:vAlign w:val="top"/>
          </w:tcPr>
          <w:p w14:paraId="5612E7A0">
            <w:pPr>
              <w:spacing w:after="0" w:line="240" w:lineRule="auto"/>
              <w:jc w:val="left"/>
            </w:pPr>
            <w:r>
              <w:rPr>
                <w:rFonts w:ascii="Times New Roman" w:hAnsi="Times New Roman"/>
                <w:sz w:val="17"/>
              </w:rPr>
              <w:t>Ecossistema</w:t>
            </w:r>
          </w:p>
        </w:tc>
        <w:tc>
          <w:tcPr>
            <w:tcW w:w="4082" w:type="dxa"/>
            <w:tcMar>
              <w:top w:w="80" w:type="dxa"/>
              <w:left w:w="80" w:type="dxa"/>
              <w:bottom w:w="80" w:type="dxa"/>
              <w:right w:w="80" w:type="dxa"/>
            </w:tcMar>
            <w:vAlign w:val="top"/>
          </w:tcPr>
          <w:p w14:paraId="4A332232">
            <w:pPr>
              <w:spacing w:after="0" w:line="240" w:lineRule="auto"/>
              <w:jc w:val="left"/>
            </w:pPr>
            <w:r>
              <w:rPr>
                <w:rFonts w:ascii="Times New Roman" w:hAnsi="Times New Roman"/>
                <w:sz w:val="17"/>
              </w:rPr>
              <w:t>Ecossistema econômico, cultural e tecnológico baseado na criação, distribuição e monetização de conteúdo, conhecimento, audiência, comunidade, influência e propriedade intelectual, mediado por plataformas e intermediários.</w:t>
            </w:r>
          </w:p>
        </w:tc>
        <w:tc>
          <w:tcPr>
            <w:tcW w:w="2268" w:type="dxa"/>
            <w:tcMar>
              <w:top w:w="80" w:type="dxa"/>
              <w:left w:w="80" w:type="dxa"/>
              <w:bottom w:w="80" w:type="dxa"/>
              <w:right w:w="80" w:type="dxa"/>
            </w:tcMar>
            <w:vAlign w:val="top"/>
          </w:tcPr>
          <w:p w14:paraId="7C21A226">
            <w:pPr>
              <w:spacing w:after="0" w:line="240" w:lineRule="auto"/>
              <w:jc w:val="left"/>
            </w:pPr>
            <w:r>
              <w:rPr>
                <w:rFonts w:ascii="Times New Roman" w:hAnsi="Times New Roman"/>
                <w:sz w:val="17"/>
              </w:rPr>
              <w:t>É mais amplo do que influencer marketing.</w:t>
            </w:r>
          </w:p>
        </w:tc>
      </w:tr>
      <w:tr w14:paraId="1E3AA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cantSplit/>
        </w:trPr>
        <w:tc>
          <w:tcPr>
            <w:tcW w:w="1814" w:type="dxa"/>
            <w:tcMar>
              <w:top w:w="80" w:type="dxa"/>
              <w:left w:w="80" w:type="dxa"/>
              <w:bottom w:w="80" w:type="dxa"/>
              <w:right w:w="80" w:type="dxa"/>
            </w:tcMar>
            <w:vAlign w:val="top"/>
          </w:tcPr>
          <w:p w14:paraId="4DDB884F">
            <w:pPr>
              <w:spacing w:after="0" w:line="240" w:lineRule="auto"/>
              <w:jc w:val="left"/>
            </w:pPr>
            <w:r>
              <w:rPr>
                <w:rFonts w:ascii="Times New Roman" w:hAnsi="Times New Roman"/>
                <w:sz w:val="17"/>
              </w:rPr>
              <w:t>Creator Business</w:t>
            </w:r>
          </w:p>
        </w:tc>
        <w:tc>
          <w:tcPr>
            <w:tcW w:w="1701" w:type="dxa"/>
            <w:tcMar>
              <w:top w:w="80" w:type="dxa"/>
              <w:left w:w="80" w:type="dxa"/>
              <w:bottom w:w="80" w:type="dxa"/>
              <w:right w:w="80" w:type="dxa"/>
            </w:tcMar>
            <w:vAlign w:val="top"/>
          </w:tcPr>
          <w:p w14:paraId="6CE6BC1F">
            <w:pPr>
              <w:spacing w:after="0" w:line="240" w:lineRule="auto"/>
              <w:jc w:val="left"/>
            </w:pPr>
            <w:r>
              <w:rPr>
                <w:rFonts w:ascii="Times New Roman" w:hAnsi="Times New Roman"/>
                <w:sz w:val="17"/>
              </w:rPr>
              <w:t>Negócio</w:t>
            </w:r>
          </w:p>
        </w:tc>
        <w:tc>
          <w:tcPr>
            <w:tcW w:w="4082" w:type="dxa"/>
            <w:tcMar>
              <w:top w:w="80" w:type="dxa"/>
              <w:left w:w="80" w:type="dxa"/>
              <w:bottom w:w="80" w:type="dxa"/>
              <w:right w:w="80" w:type="dxa"/>
            </w:tcMar>
            <w:vAlign w:val="top"/>
          </w:tcPr>
          <w:p w14:paraId="1C34C51D">
            <w:pPr>
              <w:spacing w:after="0" w:line="240" w:lineRule="auto"/>
              <w:jc w:val="left"/>
            </w:pPr>
            <w:r>
              <w:rPr>
                <w:rFonts w:ascii="Times New Roman" w:hAnsi="Times New Roman"/>
                <w:sz w:val="17"/>
              </w:rPr>
              <w:t>Estrutura empresarial ou modelo de negócio organizado em torno de ativos criativos, relacionais, intelectuais ou comerciais de um creator.</w:t>
            </w:r>
          </w:p>
        </w:tc>
        <w:tc>
          <w:tcPr>
            <w:tcW w:w="2268" w:type="dxa"/>
            <w:tcMar>
              <w:top w:w="80" w:type="dxa"/>
              <w:left w:w="80" w:type="dxa"/>
              <w:bottom w:w="80" w:type="dxa"/>
              <w:right w:w="80" w:type="dxa"/>
            </w:tcMar>
            <w:vAlign w:val="top"/>
          </w:tcPr>
          <w:p w14:paraId="0DFA120A">
            <w:pPr>
              <w:spacing w:after="0" w:line="240" w:lineRule="auto"/>
              <w:jc w:val="left"/>
            </w:pPr>
            <w:r>
              <w:rPr>
                <w:rFonts w:ascii="Times New Roman" w:hAnsi="Times New Roman"/>
                <w:sz w:val="17"/>
              </w:rPr>
              <w:t>Pode existir com ou sem dependência predominante de publicidade.</w:t>
            </w:r>
          </w:p>
        </w:tc>
      </w:tr>
      <w:tr>
        <w:trPr>
          <w:cantSplit/>
        </w:trPr>
        <w:tc>
          <w:tcPr>
            <w:tcW w:type="dxa" w:w="1756"/>
            <w:vAlign w:val="top"/>
          </w:tcPr>
          <w:p>
            <w:pPr>
              <w:spacing w:after="0" w:before="0" w:line="240" w:lineRule="auto"/>
              <w:jc w:val="left"/>
            </w:pPr>
            <w:r/>
            <w:r>
              <w:rPr>
                <w:rFonts w:ascii="Times New Roman" w:hAnsi="Times New Roman"/>
                <w:b w:val="0"/>
                <w:sz w:val="17"/>
              </w:rPr>
              <w:t>Blogger / Newsletter Creator</w:t>
            </w:r>
          </w:p>
        </w:tc>
        <w:tc>
          <w:tcPr>
            <w:tcW w:type="dxa" w:w="1697"/>
            <w:vAlign w:val="top"/>
          </w:tcPr>
          <w:p>
            <w:pPr>
              <w:spacing w:after="0" w:before="0" w:line="240" w:lineRule="auto"/>
              <w:jc w:val="left"/>
            </w:pPr>
            <w:r/>
            <w:r>
              <w:rPr>
                <w:rFonts w:ascii="Times New Roman" w:hAnsi="Times New Roman"/>
                <w:b w:val="0"/>
                <w:sz w:val="17"/>
              </w:rPr>
              <w:t>Formato/canal</w:t>
            </w:r>
          </w:p>
        </w:tc>
        <w:tc>
          <w:tcPr>
            <w:tcW w:type="dxa" w:w="3888"/>
            <w:vAlign w:val="top"/>
          </w:tcPr>
          <w:p>
            <w:pPr>
              <w:spacing w:after="0" w:before="0" w:line="240" w:lineRule="auto"/>
              <w:jc w:val="left"/>
            </w:pPr>
            <w:r/>
            <w:r>
              <w:rPr>
                <w:rFonts w:ascii="Times New Roman" w:hAnsi="Times New Roman"/>
                <w:b w:val="0"/>
                <w:sz w:val="17"/>
              </w:rPr>
              <w:t>Creator cuja produção editorial se concentra em textos, artigos, blogs ou newsletters distribuídos em canal próprio ou plataforma digital.</w:t>
            </w:r>
          </w:p>
        </w:tc>
        <w:tc>
          <w:tcPr>
            <w:tcW w:type="dxa" w:w="2224"/>
            <w:vAlign w:val="top"/>
          </w:tcPr>
          <w:p>
            <w:pPr>
              <w:spacing w:after="0" w:before="0" w:line="240" w:lineRule="auto"/>
              <w:jc w:val="left"/>
            </w:pPr>
            <w:r/>
            <w:r>
              <w:rPr>
                <w:rFonts w:ascii="Times New Roman" w:hAnsi="Times New Roman"/>
                <w:b w:val="0"/>
                <w:sz w:val="17"/>
              </w:rPr>
              <w:t>Descreve sobretudo formato e canal; não define, por si só, o modelo de receita.</w:t>
            </w:r>
          </w:p>
        </w:tc>
      </w:tr>
      <w:tr>
        <w:trPr>
          <w:cantSplit/>
        </w:trPr>
        <w:tc>
          <w:tcPr>
            <w:tcW w:type="dxa" w:w="1756"/>
            <w:vAlign w:val="top"/>
          </w:tcPr>
          <w:p>
            <w:pPr>
              <w:spacing w:after="0" w:before="0" w:line="240" w:lineRule="auto"/>
              <w:jc w:val="left"/>
            </w:pPr>
            <w:r/>
            <w:r>
              <w:rPr>
                <w:rFonts w:ascii="Times New Roman" w:hAnsi="Times New Roman"/>
                <w:b w:val="0"/>
                <w:sz w:val="17"/>
              </w:rPr>
              <w:t>Infoprodutor</w:t>
            </w:r>
          </w:p>
        </w:tc>
        <w:tc>
          <w:tcPr>
            <w:tcW w:type="dxa" w:w="1697"/>
            <w:vAlign w:val="top"/>
          </w:tcPr>
          <w:p>
            <w:pPr>
              <w:spacing w:after="0" w:before="0" w:line="240" w:lineRule="auto"/>
              <w:jc w:val="left"/>
            </w:pPr>
            <w:r/>
            <w:r>
              <w:rPr>
                <w:rFonts w:ascii="Times New Roman" w:hAnsi="Times New Roman"/>
                <w:b w:val="0"/>
                <w:sz w:val="17"/>
              </w:rPr>
              <w:t>Agente + negócio</w:t>
            </w:r>
          </w:p>
        </w:tc>
        <w:tc>
          <w:tcPr>
            <w:tcW w:type="dxa" w:w="3888"/>
            <w:vAlign w:val="top"/>
          </w:tcPr>
          <w:p>
            <w:pPr>
              <w:spacing w:after="0" w:before="0" w:line="240" w:lineRule="auto"/>
              <w:jc w:val="left"/>
            </w:pPr>
            <w:r/>
            <w:r>
              <w:rPr>
                <w:rFonts w:ascii="Times New Roman" w:hAnsi="Times New Roman"/>
                <w:b w:val="0"/>
                <w:sz w:val="17"/>
              </w:rPr>
              <w:t>Creator ou empreendedor que transforma conhecimento ou expertise em produtos digitais, como cursos, e-books, materiais educacionais ou comunidades pagas.</w:t>
            </w:r>
          </w:p>
        </w:tc>
        <w:tc>
          <w:tcPr>
            <w:tcW w:type="dxa" w:w="2224"/>
            <w:vAlign w:val="top"/>
          </w:tcPr>
          <w:p>
            <w:pPr>
              <w:spacing w:after="0" w:before="0" w:line="240" w:lineRule="auto"/>
              <w:jc w:val="left"/>
            </w:pPr>
            <w:r/>
            <w:r>
              <w:rPr>
                <w:rFonts w:ascii="Times New Roman" w:hAnsi="Times New Roman"/>
                <w:b w:val="0"/>
                <w:sz w:val="17"/>
              </w:rPr>
              <w:t>É uma configuração específica de negócio; não é sinônimo necessário de creator entrepreneur.</w:t>
            </w:r>
          </w:p>
        </w:tc>
      </w:tr>
      <w:tr>
        <w:trPr>
          <w:cantSplit/>
        </w:trPr>
        <w:tc>
          <w:tcPr>
            <w:tcW w:type="dxa" w:w="1756"/>
            <w:vAlign w:val="top"/>
          </w:tcPr>
          <w:p>
            <w:pPr>
              <w:spacing w:after="0" w:before="0" w:line="240" w:lineRule="auto"/>
              <w:jc w:val="left"/>
            </w:pPr>
            <w:r/>
            <w:r>
              <w:rPr>
                <w:rFonts w:ascii="Times New Roman" w:hAnsi="Times New Roman"/>
                <w:b w:val="0"/>
                <w:sz w:val="17"/>
              </w:rPr>
              <w:t>Celebrity Influencer</w:t>
            </w:r>
          </w:p>
        </w:tc>
        <w:tc>
          <w:tcPr>
            <w:tcW w:type="dxa" w:w="1697"/>
            <w:vAlign w:val="top"/>
          </w:tcPr>
          <w:p>
            <w:pPr>
              <w:spacing w:after="0" w:before="0" w:line="240" w:lineRule="auto"/>
              <w:jc w:val="left"/>
            </w:pPr>
            <w:r/>
            <w:r>
              <w:rPr>
                <w:rFonts w:ascii="Times New Roman" w:hAnsi="Times New Roman"/>
                <w:b w:val="0"/>
                <w:sz w:val="17"/>
              </w:rPr>
              <w:t>Agente/posição</w:t>
            </w:r>
          </w:p>
        </w:tc>
        <w:tc>
          <w:tcPr>
            <w:tcW w:type="dxa" w:w="3888"/>
            <w:vAlign w:val="top"/>
          </w:tcPr>
          <w:p>
            <w:pPr>
              <w:spacing w:after="0" w:before="0" w:line="240" w:lineRule="auto"/>
              <w:jc w:val="left"/>
            </w:pPr>
            <w:r/>
            <w:r>
              <w:rPr>
                <w:rFonts w:ascii="Times New Roman" w:hAnsi="Times New Roman"/>
                <w:b w:val="0"/>
                <w:sz w:val="17"/>
              </w:rPr>
              <w:t>Pessoa com notoriedade pública preexistente ou ampliada em ambientes digitais que mobiliza essa visibilidade como capital de influência.</w:t>
            </w:r>
          </w:p>
        </w:tc>
        <w:tc>
          <w:tcPr>
            <w:tcW w:type="dxa" w:w="2224"/>
            <w:vAlign w:val="top"/>
          </w:tcPr>
          <w:p>
            <w:pPr>
              <w:spacing w:after="0" w:before="0" w:line="240" w:lineRule="auto"/>
              <w:jc w:val="left"/>
            </w:pPr>
            <w:r/>
            <w:r>
              <w:rPr>
                <w:rFonts w:ascii="Times New Roman" w:hAnsi="Times New Roman"/>
                <w:b w:val="0"/>
                <w:sz w:val="17"/>
              </w:rPr>
              <w:t>Celebridade e creator podem se sobrepor, mas notoriedade pública não implica produção continuada de conteúdo.</w:t>
            </w:r>
          </w:p>
        </w:tc>
      </w:tr>
      <w:tr>
        <w:trPr>
          <w:cantSplit/>
        </w:trPr>
        <w:tc>
          <w:tcPr>
            <w:tcW w:type="dxa" w:w="1756"/>
            <w:vAlign w:val="top"/>
          </w:tcPr>
          <w:p>
            <w:pPr>
              <w:spacing w:after="0" w:before="0" w:line="240" w:lineRule="auto"/>
              <w:jc w:val="left"/>
            </w:pPr>
            <w:r/>
            <w:r>
              <w:rPr>
                <w:rFonts w:ascii="Times New Roman" w:hAnsi="Times New Roman"/>
                <w:b w:val="0"/>
                <w:sz w:val="17"/>
              </w:rPr>
              <w:t>Kidfluencer</w:t>
            </w:r>
          </w:p>
        </w:tc>
        <w:tc>
          <w:tcPr>
            <w:tcW w:type="dxa" w:w="1697"/>
            <w:vAlign w:val="top"/>
          </w:tcPr>
          <w:p>
            <w:pPr>
              <w:spacing w:after="0" w:before="0" w:line="240" w:lineRule="auto"/>
              <w:jc w:val="left"/>
            </w:pPr>
            <w:r/>
            <w:r>
              <w:rPr>
                <w:rFonts w:ascii="Times New Roman" w:hAnsi="Times New Roman"/>
                <w:b w:val="0"/>
                <w:sz w:val="17"/>
              </w:rPr>
              <w:t>Agente/posição + governança</w:t>
            </w:r>
          </w:p>
        </w:tc>
        <w:tc>
          <w:tcPr>
            <w:tcW w:type="dxa" w:w="3888"/>
            <w:vAlign w:val="top"/>
          </w:tcPr>
          <w:p>
            <w:pPr>
              <w:spacing w:after="0" w:before="0" w:line="240" w:lineRule="auto"/>
              <w:jc w:val="left"/>
            </w:pPr>
            <w:r/>
            <w:r>
              <w:rPr>
                <w:rFonts w:ascii="Times New Roman" w:hAnsi="Times New Roman"/>
                <w:b w:val="0"/>
                <w:sz w:val="17"/>
              </w:rPr>
              <w:t>Criança ou adolescente que participa de ecossistemas de produção de conteúdo e influência.</w:t>
            </w:r>
          </w:p>
        </w:tc>
        <w:tc>
          <w:tcPr>
            <w:tcW w:type="dxa" w:w="2224"/>
            <w:vAlign w:val="top"/>
          </w:tcPr>
          <w:p>
            <w:pPr>
              <w:spacing w:after="0" w:before="0" w:line="240" w:lineRule="auto"/>
              <w:jc w:val="left"/>
            </w:pPr>
            <w:r/>
            <w:r>
              <w:rPr>
                <w:rFonts w:ascii="Times New Roman" w:hAnsi="Times New Roman"/>
                <w:b w:val="0"/>
                <w:sz w:val="17"/>
              </w:rPr>
              <w:t>A classificação deve ser acompanhada de salvaguardas de direitos, transparência econômica e adequação etária; não deve ser normalizada como mera categoria comercial.</w:t>
            </w:r>
          </w:p>
        </w:tc>
      </w:tr>
      <w:tr>
        <w:trPr>
          <w:cantSplit/>
        </w:trPr>
        <w:tc>
          <w:tcPr>
            <w:tcW w:type="dxa" w:w="1756"/>
            <w:vAlign w:val="top"/>
          </w:tcPr>
          <w:p>
            <w:pPr>
              <w:spacing w:after="0" w:before="0" w:line="240" w:lineRule="auto"/>
              <w:jc w:val="left"/>
            </w:pPr>
            <w:r/>
            <w:r>
              <w:rPr>
                <w:rFonts w:ascii="Times New Roman" w:hAnsi="Times New Roman"/>
                <w:b w:val="0"/>
                <w:sz w:val="17"/>
              </w:rPr>
              <w:t>Social Creator</w:t>
            </w:r>
          </w:p>
        </w:tc>
        <w:tc>
          <w:tcPr>
            <w:tcW w:type="dxa" w:w="1697"/>
            <w:vAlign w:val="top"/>
          </w:tcPr>
          <w:p>
            <w:pPr>
              <w:spacing w:after="0" w:before="0" w:line="240" w:lineRule="auto"/>
              <w:jc w:val="left"/>
            </w:pPr>
            <w:r/>
            <w:r>
              <w:rPr>
                <w:rFonts w:ascii="Times New Roman" w:hAnsi="Times New Roman"/>
                <w:b w:val="0"/>
                <w:sz w:val="17"/>
              </w:rPr>
              <w:t>Configuração de negócio/atuação</w:t>
            </w:r>
          </w:p>
        </w:tc>
        <w:tc>
          <w:tcPr>
            <w:tcW w:type="dxa" w:w="3888"/>
            <w:vAlign w:val="top"/>
          </w:tcPr>
          <w:p>
            <w:pPr>
              <w:spacing w:after="0" w:before="0" w:line="240" w:lineRule="auto"/>
              <w:jc w:val="left"/>
            </w:pPr>
            <w:r/>
            <w:r>
              <w:rPr>
                <w:rFonts w:ascii="Times New Roman" w:hAnsi="Times New Roman"/>
                <w:b w:val="0"/>
                <w:sz w:val="17"/>
              </w:rPr>
              <w:t>Creator cujo valor econômico se apoia de modo relevante na relação com audiência ou comunidade e na distribuição por plataformas sociais.</w:t>
            </w:r>
          </w:p>
        </w:tc>
        <w:tc>
          <w:tcPr>
            <w:tcW w:type="dxa" w:w="2224"/>
            <w:vAlign w:val="top"/>
          </w:tcPr>
          <w:p>
            <w:pPr>
              <w:spacing w:after="0" w:before="0" w:line="240" w:lineRule="auto"/>
              <w:jc w:val="left"/>
            </w:pPr>
            <w:r/>
            <w:r>
              <w:rPr>
                <w:rFonts w:ascii="Times New Roman" w:hAnsi="Times New Roman"/>
                <w:b w:val="0"/>
                <w:sz w:val="17"/>
              </w:rPr>
              <w:t>Arquétipo de mercado, não identidade exclusiva; pode coexistir com outras configurações.</w:t>
            </w:r>
          </w:p>
        </w:tc>
      </w:tr>
      <w:tr>
        <w:trPr>
          <w:cantSplit/>
        </w:trPr>
        <w:tc>
          <w:tcPr>
            <w:tcW w:type="dxa" w:w="1756"/>
            <w:vAlign w:val="top"/>
          </w:tcPr>
          <w:p>
            <w:pPr>
              <w:spacing w:after="0" w:before="0" w:line="240" w:lineRule="auto"/>
              <w:jc w:val="left"/>
            </w:pPr>
            <w:r/>
            <w:r>
              <w:rPr>
                <w:rFonts w:ascii="Times New Roman" w:hAnsi="Times New Roman"/>
                <w:b w:val="0"/>
                <w:sz w:val="17"/>
              </w:rPr>
              <w:t>Business Creator</w:t>
            </w:r>
          </w:p>
        </w:tc>
        <w:tc>
          <w:tcPr>
            <w:tcW w:type="dxa" w:w="1697"/>
            <w:vAlign w:val="top"/>
          </w:tcPr>
          <w:p>
            <w:pPr>
              <w:spacing w:after="0" w:before="0" w:line="240" w:lineRule="auto"/>
              <w:jc w:val="left"/>
            </w:pPr>
            <w:r/>
            <w:r>
              <w:rPr>
                <w:rFonts w:ascii="Times New Roman" w:hAnsi="Times New Roman"/>
                <w:b w:val="0"/>
                <w:sz w:val="17"/>
              </w:rPr>
              <w:t>Configuração de negócio/atuação</w:t>
            </w:r>
          </w:p>
        </w:tc>
        <w:tc>
          <w:tcPr>
            <w:tcW w:type="dxa" w:w="3888"/>
            <w:vAlign w:val="top"/>
          </w:tcPr>
          <w:p>
            <w:pPr>
              <w:spacing w:after="0" w:before="0" w:line="240" w:lineRule="auto"/>
              <w:jc w:val="left"/>
            </w:pPr>
            <w:r/>
            <w:r>
              <w:rPr>
                <w:rFonts w:ascii="Times New Roman" w:hAnsi="Times New Roman"/>
                <w:b w:val="0"/>
                <w:sz w:val="17"/>
              </w:rPr>
              <w:t>Creator que utiliza conteúdo, reputação, audiência ou expertise como ativos de aquisição, relacionamento ou venda para um negócio próprio.</w:t>
            </w:r>
          </w:p>
        </w:tc>
        <w:tc>
          <w:tcPr>
            <w:tcW w:type="dxa" w:w="2224"/>
            <w:vAlign w:val="top"/>
          </w:tcPr>
          <w:p>
            <w:pPr>
              <w:spacing w:after="0" w:before="0" w:line="240" w:lineRule="auto"/>
              <w:jc w:val="left"/>
            </w:pPr>
            <w:r/>
            <w:r>
              <w:rPr>
                <w:rFonts w:ascii="Times New Roman" w:hAnsi="Times New Roman"/>
                <w:b w:val="0"/>
                <w:sz w:val="17"/>
              </w:rPr>
              <w:t>Pode coexistir com infoprodutor e creator entrepreneur; descreve orientação de negócio.</w:t>
            </w:r>
          </w:p>
        </w:tc>
      </w:tr>
      <w:tr>
        <w:trPr>
          <w:cantSplit/>
        </w:trPr>
        <w:tc>
          <w:tcPr>
            <w:tcW w:type="dxa" w:w="1756"/>
            <w:vAlign w:val="top"/>
          </w:tcPr>
          <w:p>
            <w:pPr>
              <w:spacing w:after="0" w:before="0" w:line="240" w:lineRule="auto"/>
              <w:jc w:val="left"/>
            </w:pPr>
            <w:r/>
            <w:r>
              <w:rPr>
                <w:rFonts w:ascii="Times New Roman" w:hAnsi="Times New Roman"/>
                <w:b w:val="0"/>
                <w:sz w:val="17"/>
              </w:rPr>
              <w:t>Brand Creator</w:t>
            </w:r>
          </w:p>
        </w:tc>
        <w:tc>
          <w:tcPr>
            <w:tcW w:type="dxa" w:w="1697"/>
            <w:vAlign w:val="top"/>
          </w:tcPr>
          <w:p>
            <w:pPr>
              <w:spacing w:after="0" w:before="0" w:line="240" w:lineRule="auto"/>
              <w:jc w:val="left"/>
            </w:pPr>
            <w:r/>
            <w:r>
              <w:rPr>
                <w:rFonts w:ascii="Times New Roman" w:hAnsi="Times New Roman"/>
                <w:b w:val="0"/>
                <w:sz w:val="17"/>
              </w:rPr>
              <w:t>Configuração de negócio/atuação</w:t>
            </w:r>
          </w:p>
        </w:tc>
        <w:tc>
          <w:tcPr>
            <w:tcW w:type="dxa" w:w="3888"/>
            <w:vAlign w:val="top"/>
          </w:tcPr>
          <w:p>
            <w:pPr>
              <w:spacing w:after="0" w:before="0" w:line="240" w:lineRule="auto"/>
              <w:jc w:val="left"/>
            </w:pPr>
            <w:r/>
            <w:r>
              <w:rPr>
                <w:rFonts w:ascii="Times New Roman" w:hAnsi="Times New Roman"/>
                <w:b w:val="0"/>
                <w:sz w:val="17"/>
              </w:rPr>
              <w:t>Creator cujo modelo de valor se estrutura de modo relevante em marca, produtos, serviços, formatos ou propriedade intelectual próprios.</w:t>
            </w:r>
          </w:p>
        </w:tc>
        <w:tc>
          <w:tcPr>
            <w:tcW w:type="dxa" w:w="2224"/>
            <w:vAlign w:val="top"/>
          </w:tcPr>
          <w:p>
            <w:pPr>
              <w:spacing w:after="0" w:before="0" w:line="240" w:lineRule="auto"/>
              <w:jc w:val="left"/>
            </w:pPr>
            <w:r/>
            <w:r>
              <w:rPr>
                <w:rFonts w:ascii="Times New Roman" w:hAnsi="Times New Roman"/>
                <w:b w:val="0"/>
                <w:sz w:val="17"/>
              </w:rPr>
              <w:t>Pode coexistir com publicidade, licenciamento e creator entrepreneur; não é uma relação comercial isolada.</w:t>
            </w:r>
          </w:p>
        </w:tc>
      </w:tr>
    </w:tbl>
    <w:p w14:paraId="7E75FDDA">
      <w:pPr>
        <w:spacing w:after="0" w:line="360" w:lineRule="auto" w:before="0"/>
        <w:ind w:firstLine="709"/>
        <w:jc w:val="both"/>
      </w:pPr>
      <w:r>
        <w:rPr>
          <w:rFonts w:ascii="Times New Roman" w:hAnsi="Times New Roman"/>
          <w:sz w:val="24"/>
        </w:rPr>
        <w:t>O glossário reúne os 20 conceitos expressamente previstos para a publicação visual e incorpora sete categorias adicionais presentes no mapeamento de tipos e configurações de atuação: blogger/newsletter creator, infoprodutor, celebrity influencer, kidfluencer, social creator, business creator e brand creator. Cada termo é posicionado segundo sua natureza predominante para evitar que identidades, formatos, relações econômicas e configurações de negócio sejam tratadas como equivalentes.</w:t>
      </w:r>
    </w:p>
    <w:p w14:paraId="41342B83">
      <w:pPr>
        <w:keepNext/>
        <w:spacing w:after="60" w:before="60"/>
        <w:jc w:val="center"/>
      </w:pPr>
      <w:r>
        <w:rPr>
          <w:rFonts w:ascii="Times New Roman" w:hAnsi="Times New Roman"/>
          <w:sz w:val="20"/>
        </w:rPr>
        <w:t>Quadro 3 - Glossário taxonômico ampliado e definições propostas. Fonte: elaboração própria a partir do corpus analisado.</w:t>
      </w:r>
    </w:p>
    <w:p w14:paraId="6DC9A7AD">
      <w:pPr>
        <w:pStyle w:val="3"/>
        <w:keepNext/>
        <w:keepLines/>
        <w:spacing w:before="160" w:after="120"/>
        <w:jc w:val="left"/>
      </w:pPr>
      <w:r>
        <w:rPr>
          <w:rFonts w:ascii="Times New Roman" w:hAnsi="Times New Roman"/>
          <w:b/>
          <w:sz w:val="24"/>
        </w:rPr>
        <w:t>5.6 Fontes de monetização</w:t>
      </w:r>
    </w:p>
    <w:tbl>
      <w:tblPr>
        <w:tblStyle w:val="3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30"/>
        <w:gridCol w:w="4418"/>
        <w:gridCol w:w="3317"/>
      </w:tblGrid>
      <w:tr w14:paraId="38542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cantSplit/>
        </w:trPr>
        <w:tc>
          <w:tcPr>
            <w:tcW w:w="1701" w:type="dxa"/>
            <w:shd w:val="clear" w:color="auto" w:fill="D9E2F3"/>
            <w:tcMar>
              <w:top w:w="80" w:type="dxa"/>
              <w:left w:w="80" w:type="dxa"/>
              <w:bottom w:w="80" w:type="dxa"/>
              <w:right w:w="80" w:type="dxa"/>
            </w:tcMar>
            <w:vAlign w:val="center"/>
          </w:tcPr>
          <w:p w14:paraId="2E63CC4C">
            <w:pPr>
              <w:spacing w:after="0" w:line="240" w:lineRule="auto"/>
              <w:jc w:val="center"/>
            </w:pPr>
            <w:r>
              <w:rPr>
                <w:rFonts w:ascii="Times New Roman" w:hAnsi="Times New Roman"/>
                <w:b/>
                <w:sz w:val="18"/>
              </w:rPr>
              <w:t>Origem da receita</w:t>
            </w:r>
          </w:p>
        </w:tc>
        <w:tc>
          <w:tcPr>
            <w:tcW w:w="4535" w:type="dxa"/>
            <w:shd w:val="clear" w:color="auto" w:fill="D9E2F3"/>
            <w:tcMar>
              <w:top w:w="80" w:type="dxa"/>
              <w:left w:w="80" w:type="dxa"/>
              <w:bottom w:w="80" w:type="dxa"/>
              <w:right w:w="80" w:type="dxa"/>
            </w:tcMar>
            <w:vAlign w:val="center"/>
          </w:tcPr>
          <w:p w14:paraId="58A3B658">
            <w:pPr>
              <w:spacing w:after="0" w:line="240" w:lineRule="auto"/>
              <w:jc w:val="center"/>
            </w:pPr>
            <w:r>
              <w:rPr>
                <w:rFonts w:ascii="Times New Roman" w:hAnsi="Times New Roman"/>
                <w:b/>
                <w:sz w:val="18"/>
              </w:rPr>
              <w:t>Mecanismos exemplificativos</w:t>
            </w:r>
          </w:p>
        </w:tc>
        <w:tc>
          <w:tcPr>
            <w:tcW w:w="3402" w:type="dxa"/>
            <w:shd w:val="clear" w:color="auto" w:fill="D9E2F3"/>
            <w:tcMar>
              <w:top w:w="80" w:type="dxa"/>
              <w:left w:w="80" w:type="dxa"/>
              <w:bottom w:w="80" w:type="dxa"/>
              <w:right w:w="80" w:type="dxa"/>
            </w:tcMar>
            <w:vAlign w:val="center"/>
          </w:tcPr>
          <w:p w14:paraId="2DB81F6F">
            <w:pPr>
              <w:spacing w:after="0" w:line="240" w:lineRule="auto"/>
              <w:jc w:val="center"/>
            </w:pPr>
            <w:r>
              <w:rPr>
                <w:rFonts w:ascii="Times New Roman" w:hAnsi="Times New Roman"/>
                <w:b/>
                <w:sz w:val="18"/>
              </w:rPr>
              <w:t>Observação taxonômica</w:t>
            </w:r>
          </w:p>
        </w:tc>
      </w:tr>
      <w:tr w14:paraId="510B7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cantSplit/>
        </w:trPr>
        <w:tc>
          <w:tcPr>
            <w:tcW w:w="1701" w:type="dxa"/>
            <w:tcMar>
              <w:top w:w="80" w:type="dxa"/>
              <w:left w:w="80" w:type="dxa"/>
              <w:bottom w:w="80" w:type="dxa"/>
              <w:right w:w="80" w:type="dxa"/>
            </w:tcMar>
            <w:vAlign w:val="top"/>
          </w:tcPr>
          <w:p w14:paraId="20AAF7D2">
            <w:pPr>
              <w:spacing w:after="0" w:line="240" w:lineRule="auto"/>
              <w:jc w:val="left"/>
            </w:pPr>
            <w:r>
              <w:rPr>
                <w:rFonts w:ascii="Times New Roman" w:hAnsi="Times New Roman"/>
                <w:sz w:val="18"/>
              </w:rPr>
              <w:t>Marcas</w:t>
            </w:r>
          </w:p>
        </w:tc>
        <w:tc>
          <w:tcPr>
            <w:tcW w:w="4535" w:type="dxa"/>
            <w:tcMar>
              <w:top w:w="80" w:type="dxa"/>
              <w:left w:w="80" w:type="dxa"/>
              <w:bottom w:w="80" w:type="dxa"/>
              <w:right w:w="80" w:type="dxa"/>
            </w:tcMar>
            <w:vAlign w:val="top"/>
          </w:tcPr>
          <w:p w14:paraId="7502FD13">
            <w:pPr>
              <w:spacing w:after="0" w:line="240" w:lineRule="auto"/>
              <w:jc w:val="left"/>
            </w:pPr>
            <w:r>
              <w:rPr>
                <w:rFonts w:ascii="Times New Roman" w:hAnsi="Times New Roman"/>
                <w:sz w:val="18"/>
              </w:rPr>
              <w:t>fee, campanha, publi, UGC contratado, branded content, patrocínio, brand ambassador.</w:t>
            </w:r>
          </w:p>
        </w:tc>
        <w:tc>
          <w:tcPr>
            <w:tcW w:w="3402" w:type="dxa"/>
            <w:tcMar>
              <w:top w:w="80" w:type="dxa"/>
              <w:left w:w="80" w:type="dxa"/>
              <w:bottom w:w="80" w:type="dxa"/>
              <w:right w:w="80" w:type="dxa"/>
            </w:tcMar>
            <w:vAlign w:val="top"/>
          </w:tcPr>
          <w:p w14:paraId="737C9C27">
            <w:pPr>
              <w:spacing w:after="0" w:line="240" w:lineRule="auto"/>
              <w:jc w:val="left"/>
            </w:pPr>
            <w:r>
              <w:rPr>
                <w:rFonts w:ascii="Times New Roman" w:hAnsi="Times New Roman"/>
                <w:sz w:val="18"/>
              </w:rPr>
              <w:t>Receita associada a relações B2B e comunicação comercial.</w:t>
            </w:r>
          </w:p>
        </w:tc>
      </w:tr>
      <w:tr w14:paraId="229FD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cantSplit/>
        </w:trPr>
        <w:tc>
          <w:tcPr>
            <w:tcW w:w="1701" w:type="dxa"/>
            <w:tcMar>
              <w:top w:w="80" w:type="dxa"/>
              <w:left w:w="80" w:type="dxa"/>
              <w:bottom w:w="80" w:type="dxa"/>
              <w:right w:w="80" w:type="dxa"/>
            </w:tcMar>
            <w:vAlign w:val="top"/>
          </w:tcPr>
          <w:p w14:paraId="58A4F72B">
            <w:pPr>
              <w:spacing w:after="0" w:line="240" w:lineRule="auto"/>
              <w:jc w:val="left"/>
            </w:pPr>
            <w:r>
              <w:rPr>
                <w:rFonts w:ascii="Times New Roman" w:hAnsi="Times New Roman"/>
                <w:sz w:val="18"/>
              </w:rPr>
              <w:t>Plataformas</w:t>
            </w:r>
          </w:p>
        </w:tc>
        <w:tc>
          <w:tcPr>
            <w:tcW w:w="4535" w:type="dxa"/>
            <w:tcMar>
              <w:top w:w="80" w:type="dxa"/>
              <w:left w:w="80" w:type="dxa"/>
              <w:bottom w:w="80" w:type="dxa"/>
              <w:right w:w="80" w:type="dxa"/>
            </w:tcMar>
            <w:vAlign w:val="top"/>
          </w:tcPr>
          <w:p w14:paraId="656A5306">
            <w:pPr>
              <w:spacing w:after="0" w:line="240" w:lineRule="auto"/>
              <w:jc w:val="left"/>
            </w:pPr>
            <w:r>
              <w:rPr>
                <w:rFonts w:ascii="Times New Roman" w:hAnsi="Times New Roman"/>
                <w:sz w:val="18"/>
              </w:rPr>
              <w:t>revenue share, payouts, creator programs, monetização publicitária.</w:t>
            </w:r>
          </w:p>
        </w:tc>
        <w:tc>
          <w:tcPr>
            <w:tcW w:w="3402" w:type="dxa"/>
            <w:tcMar>
              <w:top w:w="80" w:type="dxa"/>
              <w:left w:w="80" w:type="dxa"/>
              <w:bottom w:w="80" w:type="dxa"/>
              <w:right w:w="80" w:type="dxa"/>
            </w:tcMar>
            <w:vAlign w:val="top"/>
          </w:tcPr>
          <w:p w14:paraId="441B5D6B">
            <w:pPr>
              <w:spacing w:after="0" w:line="240" w:lineRule="auto"/>
              <w:jc w:val="left"/>
            </w:pPr>
            <w:r>
              <w:rPr>
                <w:rFonts w:ascii="Times New Roman" w:hAnsi="Times New Roman"/>
                <w:sz w:val="18"/>
              </w:rPr>
              <w:t>Dependência de regras, elegibilidade e métricas da plataforma.</w:t>
            </w:r>
          </w:p>
        </w:tc>
      </w:tr>
      <w:tr w14:paraId="67646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cantSplit/>
        </w:trPr>
        <w:tc>
          <w:tcPr>
            <w:tcW w:w="1701" w:type="dxa"/>
            <w:tcMar>
              <w:top w:w="80" w:type="dxa"/>
              <w:left w:w="80" w:type="dxa"/>
              <w:bottom w:w="80" w:type="dxa"/>
              <w:right w:w="80" w:type="dxa"/>
            </w:tcMar>
            <w:vAlign w:val="top"/>
          </w:tcPr>
          <w:p w14:paraId="6491EB54">
            <w:pPr>
              <w:spacing w:after="0" w:line="240" w:lineRule="auto"/>
              <w:jc w:val="left"/>
            </w:pPr>
            <w:r>
              <w:rPr>
                <w:rFonts w:ascii="Times New Roman" w:hAnsi="Times New Roman"/>
                <w:sz w:val="18"/>
              </w:rPr>
              <w:t>Audiência/comunidade</w:t>
            </w:r>
          </w:p>
        </w:tc>
        <w:tc>
          <w:tcPr>
            <w:tcW w:w="4535" w:type="dxa"/>
            <w:tcMar>
              <w:top w:w="80" w:type="dxa"/>
              <w:left w:w="80" w:type="dxa"/>
              <w:bottom w:w="80" w:type="dxa"/>
              <w:right w:w="80" w:type="dxa"/>
            </w:tcMar>
            <w:vAlign w:val="top"/>
          </w:tcPr>
          <w:p w14:paraId="23DE7A03">
            <w:pPr>
              <w:spacing w:after="0" w:line="240" w:lineRule="auto"/>
              <w:jc w:val="left"/>
            </w:pPr>
            <w:r>
              <w:rPr>
                <w:rFonts w:ascii="Times New Roman" w:hAnsi="Times New Roman"/>
                <w:sz w:val="18"/>
              </w:rPr>
              <w:t>assinaturas, memberships, gifts, tipping, crowdfunding.</w:t>
            </w:r>
          </w:p>
        </w:tc>
        <w:tc>
          <w:tcPr>
            <w:tcW w:w="3402" w:type="dxa"/>
            <w:tcMar>
              <w:top w:w="80" w:type="dxa"/>
              <w:left w:w="80" w:type="dxa"/>
              <w:bottom w:w="80" w:type="dxa"/>
              <w:right w:w="80" w:type="dxa"/>
            </w:tcMar>
            <w:vAlign w:val="top"/>
          </w:tcPr>
          <w:p w14:paraId="472506EA">
            <w:pPr>
              <w:spacing w:after="0" w:line="240" w:lineRule="auto"/>
              <w:jc w:val="left"/>
            </w:pPr>
            <w:r>
              <w:rPr>
                <w:rFonts w:ascii="Times New Roman" w:hAnsi="Times New Roman"/>
                <w:sz w:val="18"/>
              </w:rPr>
              <w:t>Monetização direta da relação com a comunidade.</w:t>
            </w:r>
          </w:p>
        </w:tc>
      </w:tr>
      <w:tr w14:paraId="5FBF2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cantSplit/>
        </w:trPr>
        <w:tc>
          <w:tcPr>
            <w:tcW w:w="1701" w:type="dxa"/>
            <w:tcMar>
              <w:top w:w="80" w:type="dxa"/>
              <w:left w:w="80" w:type="dxa"/>
              <w:bottom w:w="80" w:type="dxa"/>
              <w:right w:w="80" w:type="dxa"/>
            </w:tcMar>
            <w:vAlign w:val="top"/>
          </w:tcPr>
          <w:p w14:paraId="712FB05D">
            <w:pPr>
              <w:spacing w:after="0" w:line="240" w:lineRule="auto"/>
              <w:jc w:val="left"/>
            </w:pPr>
            <w:r>
              <w:rPr>
                <w:rFonts w:ascii="Times New Roman" w:hAnsi="Times New Roman"/>
                <w:sz w:val="18"/>
              </w:rPr>
              <w:t>Comércio</w:t>
            </w:r>
          </w:p>
        </w:tc>
        <w:tc>
          <w:tcPr>
            <w:tcW w:w="4535" w:type="dxa"/>
            <w:tcMar>
              <w:top w:w="80" w:type="dxa"/>
              <w:left w:w="80" w:type="dxa"/>
              <w:bottom w:w="80" w:type="dxa"/>
              <w:right w:w="80" w:type="dxa"/>
            </w:tcMar>
            <w:vAlign w:val="top"/>
          </w:tcPr>
          <w:p w14:paraId="140C1960">
            <w:pPr>
              <w:spacing w:after="0" w:line="240" w:lineRule="auto"/>
              <w:jc w:val="left"/>
            </w:pPr>
            <w:r>
              <w:rPr>
                <w:rFonts w:ascii="Times New Roman" w:hAnsi="Times New Roman"/>
                <w:sz w:val="18"/>
              </w:rPr>
              <w:t>affiliate marketing, social commerce, live commerce.</w:t>
            </w:r>
          </w:p>
        </w:tc>
        <w:tc>
          <w:tcPr>
            <w:tcW w:w="3402" w:type="dxa"/>
            <w:tcMar>
              <w:top w:w="80" w:type="dxa"/>
              <w:left w:w="80" w:type="dxa"/>
              <w:bottom w:w="80" w:type="dxa"/>
              <w:right w:w="80" w:type="dxa"/>
            </w:tcMar>
            <w:vAlign w:val="top"/>
          </w:tcPr>
          <w:p w14:paraId="075EB3B5">
            <w:pPr>
              <w:spacing w:after="0" w:line="240" w:lineRule="auto"/>
              <w:jc w:val="left"/>
            </w:pPr>
            <w:r>
              <w:rPr>
                <w:rFonts w:ascii="Times New Roman" w:hAnsi="Times New Roman"/>
                <w:sz w:val="18"/>
              </w:rPr>
              <w:t>Receita ligada a transação ou performance.</w:t>
            </w:r>
          </w:p>
        </w:tc>
      </w:tr>
      <w:tr w14:paraId="6FAAE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cantSplit/>
        </w:trPr>
        <w:tc>
          <w:tcPr>
            <w:tcW w:w="1701" w:type="dxa"/>
            <w:tcMar>
              <w:top w:w="80" w:type="dxa"/>
              <w:left w:w="80" w:type="dxa"/>
              <w:bottom w:w="80" w:type="dxa"/>
              <w:right w:w="80" w:type="dxa"/>
            </w:tcMar>
            <w:vAlign w:val="top"/>
          </w:tcPr>
          <w:p w14:paraId="4FA0A8CD">
            <w:pPr>
              <w:spacing w:after="0" w:line="240" w:lineRule="auto"/>
              <w:jc w:val="left"/>
            </w:pPr>
            <w:r>
              <w:rPr>
                <w:rFonts w:ascii="Times New Roman" w:hAnsi="Times New Roman"/>
                <w:sz w:val="18"/>
              </w:rPr>
              <w:t>Negócios próprios</w:t>
            </w:r>
          </w:p>
        </w:tc>
        <w:tc>
          <w:tcPr>
            <w:tcW w:w="4535" w:type="dxa"/>
            <w:tcMar>
              <w:top w:w="80" w:type="dxa"/>
              <w:left w:w="80" w:type="dxa"/>
              <w:bottom w:w="80" w:type="dxa"/>
              <w:right w:w="80" w:type="dxa"/>
            </w:tcMar>
            <w:vAlign w:val="top"/>
          </w:tcPr>
          <w:p w14:paraId="492AAFED">
            <w:pPr>
              <w:spacing w:after="0" w:line="240" w:lineRule="auto"/>
              <w:jc w:val="left"/>
            </w:pPr>
            <w:r>
              <w:rPr>
                <w:rFonts w:ascii="Times New Roman" w:hAnsi="Times New Roman"/>
                <w:sz w:val="18"/>
              </w:rPr>
              <w:t>cursos, produtos, serviços, consultoria, eventos, marcas próprias.</w:t>
            </w:r>
          </w:p>
        </w:tc>
        <w:tc>
          <w:tcPr>
            <w:tcW w:w="3402" w:type="dxa"/>
            <w:tcMar>
              <w:top w:w="80" w:type="dxa"/>
              <w:left w:w="80" w:type="dxa"/>
              <w:bottom w:w="80" w:type="dxa"/>
              <w:right w:w="80" w:type="dxa"/>
            </w:tcMar>
            <w:vAlign w:val="top"/>
          </w:tcPr>
          <w:p w14:paraId="2C62D627">
            <w:pPr>
              <w:spacing w:after="0" w:line="240" w:lineRule="auto"/>
              <w:jc w:val="left"/>
            </w:pPr>
            <w:r>
              <w:rPr>
                <w:rFonts w:ascii="Times New Roman" w:hAnsi="Times New Roman"/>
                <w:sz w:val="18"/>
              </w:rPr>
              <w:t>Expansão do creator para atividade empresarial.</w:t>
            </w:r>
          </w:p>
        </w:tc>
      </w:tr>
      <w:tr w14:paraId="4A218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cantSplit/>
        </w:trPr>
        <w:tc>
          <w:tcPr>
            <w:tcW w:w="1701" w:type="dxa"/>
            <w:tcMar>
              <w:top w:w="80" w:type="dxa"/>
              <w:left w:w="80" w:type="dxa"/>
              <w:bottom w:w="80" w:type="dxa"/>
              <w:right w:w="80" w:type="dxa"/>
            </w:tcMar>
            <w:vAlign w:val="top"/>
          </w:tcPr>
          <w:p w14:paraId="7ED3D346">
            <w:pPr>
              <w:spacing w:after="0" w:line="240" w:lineRule="auto"/>
              <w:jc w:val="left"/>
              <w:keepNext w:val="1"/>
            </w:pPr>
            <w:r>
              <w:rPr>
                <w:rFonts w:ascii="Times New Roman" w:hAnsi="Times New Roman"/>
                <w:sz w:val="18"/>
              </w:rPr>
              <w:t>Propriedade intelectual</w:t>
            </w:r>
          </w:p>
        </w:tc>
        <w:tc>
          <w:tcPr>
            <w:tcW w:w="4535" w:type="dxa"/>
            <w:tcMar>
              <w:top w:w="80" w:type="dxa"/>
              <w:left w:w="80" w:type="dxa"/>
              <w:bottom w:w="80" w:type="dxa"/>
              <w:right w:w="80" w:type="dxa"/>
            </w:tcMar>
            <w:vAlign w:val="top"/>
          </w:tcPr>
          <w:p w14:paraId="36842314">
            <w:pPr>
              <w:spacing w:after="0" w:line="240" w:lineRule="auto"/>
              <w:jc w:val="left"/>
              <w:keepNext w:val="1"/>
            </w:pPr>
            <w:r>
              <w:rPr>
                <w:rFonts w:ascii="Times New Roman" w:hAnsi="Times New Roman"/>
                <w:sz w:val="18"/>
              </w:rPr>
              <w:t>licenciamento, royalties, personagens, formatos, merchandising.</w:t>
            </w:r>
          </w:p>
        </w:tc>
        <w:tc>
          <w:tcPr>
            <w:tcW w:w="3402" w:type="dxa"/>
            <w:tcMar>
              <w:top w:w="80" w:type="dxa"/>
              <w:left w:w="80" w:type="dxa"/>
              <w:bottom w:w="80" w:type="dxa"/>
              <w:right w:w="80" w:type="dxa"/>
            </w:tcMar>
            <w:vAlign w:val="top"/>
          </w:tcPr>
          <w:p w14:paraId="01A6B40F">
            <w:pPr>
              <w:spacing w:after="0" w:line="240" w:lineRule="auto"/>
              <w:jc w:val="left"/>
              <w:keepNext w:val="1"/>
            </w:pPr>
            <w:r>
              <w:rPr>
                <w:rFonts w:ascii="Times New Roman" w:hAnsi="Times New Roman"/>
                <w:sz w:val="18"/>
              </w:rPr>
              <w:t>Monetização de ativos intangíveis e direitos.</w:t>
            </w:r>
          </w:p>
        </w:tc>
      </w:tr>
    </w:tbl>
    <w:p w14:paraId="0B31E24C">
      <w:pPr>
        <w:spacing w:after="0"/>
        <w:keepNext w:val="1"/>
      </w:pPr>
    </w:p>
    <w:p w14:paraId="155E233B">
      <w:pPr>
        <w:keepNext/>
        <w:spacing w:after="60" w:before="60"/>
        <w:jc w:val="center"/>
      </w:pPr>
      <w:r>
        <w:rPr>
          <w:rFonts w:ascii="Times New Roman" w:hAnsi="Times New Roman"/>
          <w:i/>
          <w:sz w:val="20"/>
        </w:rPr>
        <w:t xml:space="preserve">Quadro 4 - Origens de receita na economia da criação de conteúdo. Fonte: elaboração própria.</w:t>
      </w:r>
    </w:p>
    <w:p w14:paraId="0F826FF7">
      <w:pPr>
        <w:pStyle w:val="2"/>
        <w:keepNext/>
        <w:keepLines/>
        <w:spacing w:before="240" w:after="120"/>
        <w:jc w:val="left"/>
      </w:pPr>
      <w:r>
        <w:rPr>
          <w:rFonts w:ascii="Times New Roman" w:hAnsi="Times New Roman"/>
          <w:b/>
          <w:sz w:val="24"/>
        </w:rPr>
        <w:t>6 DISCUSSÃO</w:t>
      </w:r>
    </w:p>
    <w:p w14:paraId="14C024FD">
      <w:pPr>
        <w:pStyle w:val="3"/>
        <w:keepNext/>
        <w:keepLines/>
        <w:spacing w:before="160" w:after="120"/>
        <w:jc w:val="left"/>
      </w:pPr>
      <w:r>
        <w:rPr>
          <w:rFonts w:ascii="Times New Roman" w:hAnsi="Times New Roman"/>
          <w:b/>
          <w:sz w:val="24"/>
        </w:rPr>
        <w:t>6.1 Relação com a taxonomia do IAB</w:t>
      </w:r>
    </w:p>
    <w:p w14:paraId="00B26BFD">
      <w:pPr>
        <w:keepNext w:val="0"/>
        <w:spacing w:before="0" w:after="0" w:line="360" w:lineRule="auto"/>
        <w:ind w:firstLine="709"/>
        <w:jc w:val="both"/>
      </w:pPr>
      <w:r>
        <w:rPr>
          <w:rFonts w:ascii="Times New Roman" w:hAnsi="Times New Roman"/>
          <w:sz w:val="24"/>
        </w:rPr>
        <w:t>A proposta converge com o objetivo do IAB (2025a) de criar um léxico compartilhado e com o mapa ecossistêmico do IAB (2025b), mas acrescenta uma regra de organização: termos devem ser classificados segundo o tipo de pergunta que respondem. Essa regra é particularmente útil para uso institucional e didático porque reduz a tendência de comparar categorias incomparáveis. A taxonomia do IAB funciona como repertório estruturante; a proposta brasileira multidimensional funciona como camada de leitura e organização.</w:t>
      </w:r>
    </w:p>
    <w:p w14:paraId="6ED397B9">
      <w:pPr>
        <w:pStyle w:val="3"/>
        <w:keepNext/>
        <w:keepLines/>
        <w:spacing w:before="160" w:after="120"/>
        <w:jc w:val="left"/>
      </w:pPr>
      <w:r>
        <w:rPr>
          <w:rFonts w:ascii="Times New Roman" w:hAnsi="Times New Roman"/>
          <w:b/>
          <w:sz w:val="24"/>
        </w:rPr>
        <w:t>6.2 Contextualização brasileira</w:t>
      </w:r>
    </w:p>
    <w:p w14:paraId="524AEDD5">
      <w:pPr>
        <w:keepNext w:val="0"/>
        <w:spacing w:before="0" w:after="0" w:line="360" w:lineRule="auto"/>
        <w:ind w:firstLine="709"/>
        <w:jc w:val="both"/>
      </w:pPr>
      <w:r>
        <w:rPr>
          <w:rFonts w:ascii="Times New Roman" w:hAnsi="Times New Roman"/>
          <w:sz w:val="24"/>
        </w:rPr>
        <w:t>A adaptação brasileira precisa considerar linguagem, maturidade do mercado e formas locais de profissionalização. Para reforçar essa aderência sem converter evidência setorial em validação estatística da taxonomia, foram incorporados indicadores empíricos descritivos das fontes nacionais do corpus. Na Pesquisa #Publi 2024, IAB Brasil e Offerwise trabalharam com 1.500 respondentes e reportaram diferenças geracionais no consumo de conteúdo de influenciadores, nos temas buscados e nos formatos de publicidade analisados (IAB BRASIL; OFFERWISE, 2024). O resultado reforça a decisão de não usar tamanho de audiência como substituto automático de influência e de manter canal, audiência e relação econômica em planos analíticos distintos.</w:t>
      </w:r>
    </w:p>
    <w:p w14:paraId="61D13761">
      <w:pPr>
        <w:keepNext w:val="0"/>
        <w:spacing w:before="0" w:after="0" w:line="360" w:lineRule="auto"/>
        <w:ind w:firstLine="709"/>
        <w:jc w:val="both"/>
      </w:pPr>
      <w:r>
        <w:rPr>
          <w:rFonts w:ascii="Times New Roman" w:hAnsi="Times New Roman"/>
          <w:sz w:val="24"/>
        </w:rPr>
        <w:t>Na edição #Publi 2025, 7 em cada 10 brasileiros apontaram autenticidade como fator decisivo e 8 em cada 10 declararam já ter comprado produtos recomendados por creators; o estudo também registra diferenças geracionais no consumo de plataformas, a força de vídeos curtos e a pulverização da influência entre grandes nomes e microcreators (IAB BRASIL; OFFERWISE, 2025). Esses resultados não demonstram causalidade, mas reforçam empiricamente a necessidade de distinguir alcance, confiança, influência, ação ou conversão e monetização - constructos que a taxonomia separa.</w:t>
      </w:r>
    </w:p>
    <w:p>
      <w:pPr>
        <w:spacing w:line="360" w:lineRule="auto" w:before="0" w:after="0"/>
        <w:ind w:firstLine="709"/>
        <w:jc w:val="both"/>
      </w:pPr>
      <w:r>
        <w:rPr>
          <w:rFonts w:ascii="Times New Roman" w:hAnsi="Times New Roman"/>
          <w:sz w:val="24"/>
        </w:rPr>
        <w:t xml:space="preserve">A pesquisa Creators &amp; Negócios 2025, da YOUPIX e Brunch, reporta que 41% dos creators do estudo ainda vivem de conteúdo patrocinado, por #publi ou UGC, e que um em cada dois creators com renda mensal superior a R$ 10 mil produz conteúdo há mais de cinco anos (YOUPIX; BRUNCH, 2025). O recorte documenta a coexistência, no universo pesquisado, entre publicidade, UGC, tempo de profissionalização e estratégias de negócio, oferecendo apoio contextual à separação analítica entre identidade do creator e dimensão E - Valor e sustentabilidade.</w:t>
      </w:r>
    </w:p>
    <w:p>
      <w:pPr>
        <w:spacing w:line="360" w:lineRule="auto" w:before="0" w:after="0"/>
        <w:ind w:firstLine="709"/>
        <w:jc w:val="both"/>
      </w:pPr>
      <w:r>
        <w:rPr>
          <w:rFonts w:ascii="Times New Roman" w:hAnsi="Times New Roman"/>
          <w:sz w:val="24"/>
        </w:rPr>
        <w:t>Pereira e Borges (2024), em pesquisa exploratória quantitativa e qualitativa com procedimentos bibliográficos e documentais, mapeiam o ecossistema brasileiro e recuperam as configurações brand creator, social creator e business creator, observando interseções e a assunção de múltiplos papéis ao longo do ciclo de negócios. Karhawi (2024), por sua vez, articula discussão teórica com exemplos empíricos de práticas voltadas à gestão da visibilidade em ambientes algorítmicos e propõe uma matriz do trabalho de visibilidade. Em conjunto, essas fontes oferecem triangulação brasileira para as dimensões de agente e configuração de negócio, formato e canal e intermediação e infraestrutura, sem eliminar a necessidade de teste empírico direto da taxonomia.</w:t>
      </w:r>
    </w:p>
    <w:p w14:paraId="076DD5C6">
      <w:pPr>
        <w:pStyle w:val="3"/>
        <w:keepNext/>
        <w:keepLines/>
        <w:spacing w:before="160" w:after="120"/>
        <w:jc w:val="left"/>
      </w:pPr>
      <w:r>
        <w:rPr>
          <w:rFonts w:ascii="Times New Roman" w:hAnsi="Times New Roman"/>
          <w:b/>
          <w:sz w:val="24"/>
        </w:rPr>
        <w:t>6.3 Implicações para creators, marcas, agências e plataformas</w:t>
      </w:r>
    </w:p>
    <w:p w14:paraId="329DA878">
      <w:pPr>
        <w:keepNext w:val="0"/>
        <w:spacing w:before="0" w:after="0" w:line="360" w:lineRule="auto"/>
        <w:ind w:firstLine="709"/>
        <w:jc w:val="both"/>
      </w:pPr>
      <w:r>
        <w:rPr>
          <w:rFonts w:ascii="Times New Roman" w:hAnsi="Times New Roman"/>
          <w:sz w:val="24"/>
        </w:rPr>
        <w:t>Para creators, o modelo pode apoiar a descrição da atividade sem reduzir a identidade profissional a uma única etiqueta. Para marcas, pode facilitar a seleção de parceiros com base em função e relação econômica, e não apenas em número de seguidores. Para agências e managers, torna analiticamente explícito o papel de intermediação. Para plataformas, explicita que distribuição, monetização, métricas e governança são componentes estruturais a considerar no ecossistema, e não apenas canais de distribuição.</w:t>
      </w:r>
    </w:p>
    <w:p w14:paraId="722AAEAF">
      <w:pPr>
        <w:keepNext w:val="0"/>
        <w:spacing w:before="0" w:after="0" w:line="360" w:lineRule="auto"/>
        <w:ind w:firstLine="709"/>
        <w:jc w:val="both"/>
      </w:pPr>
      <w:r>
        <w:rPr>
          <w:rFonts w:ascii="Times New Roman" w:hAnsi="Times New Roman"/>
          <w:sz w:val="24"/>
        </w:rPr>
        <w:t>Em termos contratuais, a separação dimensional também pode aumentar a clareza. Um acordo pode especificar formato do conteúdo, função esperada, direitos de uso, natureza da relação econômica, remuneração e intermediários envolvidos. A distinção entre UGC contratado e campanha de influência, por exemplo, reduz o erro de presumir que a audiência do creator é sempre o principal ativo comprado.</w:t>
      </w:r>
    </w:p>
    <w:p w14:paraId="1E07660C">
      <w:pPr>
        <w:pStyle w:val="3"/>
        <w:keepNext/>
        <w:keepLines/>
        <w:spacing w:before="160" w:after="120"/>
        <w:jc w:val="left"/>
      </w:pPr>
      <w:r>
        <w:rPr>
          <w:rFonts w:ascii="Times New Roman" w:hAnsi="Times New Roman"/>
          <w:b/>
          <w:sz w:val="24"/>
        </w:rPr>
        <w:t>6.4 Mensuração: audiência, influência e conversão</w:t>
      </w:r>
    </w:p>
    <w:p w14:paraId="1DB9C80E">
      <w:pPr>
        <w:keepNext w:val="0"/>
        <w:spacing w:before="0" w:after="0" w:line="360" w:lineRule="auto"/>
        <w:ind w:firstLine="709"/>
        <w:jc w:val="both"/>
      </w:pPr>
      <w:r>
        <w:rPr>
          <w:rFonts w:ascii="Times New Roman" w:hAnsi="Times New Roman"/>
          <w:sz w:val="24"/>
        </w:rPr>
        <w:t xml:space="preserve">A mensuração constitui uma fronteira crítica para a profissionalização da economia da criação de conteúdo. O IAB (2026a) identifica ausência de padrões suficientemente maduros para integração completa de creators a estratégias empresariais de mídia, com fragmentação de métricas e dificuldades de atribuição. A taxonomia proposta contribui ao separar constructos que não devem ser confundidos. Seguidores são medida de audiência potencial; engajamento pode indicar interação; influência envolve capacidade de afetar percepções ou decisões; conversão é ação observável; e receita depende de modelo econômico e atribuição.</w:t>
      </w:r>
    </w:p>
    <w:p w14:paraId="7223C2E4">
      <w:pPr>
        <w:pStyle w:val="3"/>
        <w:keepNext/>
        <w:keepLines/>
        <w:spacing w:before="160" w:after="120"/>
        <w:jc w:val="left"/>
      </w:pPr>
      <w:r>
        <w:rPr>
          <w:rFonts w:ascii="Times New Roman" w:hAnsi="Times New Roman"/>
          <w:b/>
          <w:sz w:val="24"/>
        </w:rPr>
        <w:t>6.5 Publicidade, disclosure e relação econômica</w:t>
      </w:r>
    </w:p>
    <w:p w14:paraId="76A155F7">
      <w:pPr>
        <w:keepNext w:val="0"/>
        <w:spacing w:before="0" w:after="0" w:line="360" w:lineRule="auto"/>
        <w:ind w:firstLine="709"/>
        <w:jc w:val="both"/>
      </w:pPr>
      <w:r>
        <w:rPr>
          <w:rFonts w:ascii="Times New Roman" w:hAnsi="Times New Roman"/>
          <w:sz w:val="24"/>
        </w:rPr>
        <w:t xml:space="preserve">A distinção entre conteúdo editorial e conteúdo comercial não pode depender apenas da aparência da peça. CONAR (2026), FTC (2019; 2023) e European Commission (2023) convergem na importância de transparência quando existe relação material, publicidade ou venda. A taxonomia favorece esse enquadramento porque identifica explicitamente a dimensão D - Vínculos e trocas. Um mesmo vídeo pode ser editorial, patrocinado, afiliado, UGC contratado ou parte de embaixadoria de marca, dependendo do vínculo e da contraprestação.</w:t>
      </w:r>
    </w:p>
    <w:p w14:paraId="40FD6507">
      <w:pPr>
        <w:pStyle w:val="3"/>
        <w:keepNext/>
        <w:keepLines/>
        <w:spacing w:before="160" w:after="120"/>
        <w:jc w:val="left"/>
      </w:pPr>
      <w:r>
        <w:rPr>
          <w:rFonts w:ascii="Times New Roman" w:hAnsi="Times New Roman"/>
          <w:b/>
          <w:sz w:val="24"/>
        </w:rPr>
        <w:t>6.6 Inteligência artificial e identidades sintéticas</w:t>
      </w:r>
    </w:p>
    <w:p w14:paraId="6CB8020A">
      <w:pPr>
        <w:keepNext w:val="0"/>
        <w:spacing w:before="0" w:after="0" w:line="360" w:lineRule="auto"/>
        <w:ind w:firstLine="709"/>
        <w:jc w:val="both"/>
      </w:pPr>
      <w:r>
        <w:rPr>
          <w:rFonts w:ascii="Times New Roman" w:hAnsi="Times New Roman"/>
          <w:sz w:val="24"/>
        </w:rPr>
        <w:t>A IA impõe uma distinção adicional entre tecnologia de produção e identidade do agente. Um creator humano pode usar IA generativa sem se tornar virtual influencer. Um virtual influencer, por sua vez, pode ser operado por equipe humana e incorporar diferentes níveis de geração sintética. O framework de transparência do IAB (2026b) é útil por tratar disclosure com base em risco, materialidade e modalidade de uso, incluindo texto, imagem, vídeo, áudio, vozes sintéticas e digital twins. Na taxonomia, IA pode aparecer transversalmente em formato/canal, infraestrutura, identidade sintética e governança de transparência.</w:t>
      </w:r>
    </w:p>
    <w:p w14:paraId="53F4A15D">
      <w:pPr>
        <w:pStyle w:val="3"/>
        <w:keepNext/>
        <w:keepLines/>
        <w:spacing w:before="160" w:after="120"/>
        <w:jc w:val="left"/>
      </w:pPr>
      <w:r>
        <w:rPr>
          <w:rFonts w:ascii="Times New Roman" w:hAnsi="Times New Roman"/>
          <w:b/>
          <w:sz w:val="24"/>
        </w:rPr>
        <w:t>6.7 Crianças e adolescentes como fronteira sensível</w:t>
      </w:r>
    </w:p>
    <w:p w14:paraId="0A2048FC">
      <w:pPr>
        <w:keepNext w:val="0"/>
        <w:spacing w:before="0" w:after="0" w:line="360" w:lineRule="auto"/>
        <w:ind w:firstLine="709"/>
        <w:jc w:val="both"/>
      </w:pPr>
      <w:r>
        <w:rPr>
          <w:rFonts w:ascii="Times New Roman" w:hAnsi="Times New Roman"/>
          <w:sz w:val="24"/>
        </w:rPr>
        <w:t>A participação de crianças e adolescentes como audiência, produtores de conteúdo ou agentes de influência exige tratamento específico e não deve ser normalizada apenas como subtipo comercial. A atualização do CONAR de 2026 inclui proteção a crianças e adolescentes entre os temas centrais de publicidade por influenciadores. Em uma versão futura ampliada da taxonomia, recomenda-se que kidfluencer seja acompanhado por camada de salvaguardas, direitos, governança familiar, transparência econômica e adequação etária, em vez de ser tratado apenas como segmento de audiência.</w:t>
      </w:r>
    </w:p>
    <w:p w14:paraId="36520CD2">
      <w:pPr>
        <w:pStyle w:val="2"/>
        <w:keepNext/>
        <w:keepLines/>
        <w:spacing w:before="240" w:after="120"/>
        <w:jc w:val="left"/>
      </w:pPr>
      <w:r>
        <w:rPr>
          <w:rFonts w:ascii="Times New Roman" w:hAnsi="Times New Roman"/>
          <w:b/>
          <w:sz w:val="24"/>
        </w:rPr>
        <w:t>7 LIMITAÇÕES DA PESQUISA</w:t>
      </w:r>
    </w:p>
    <w:p w14:paraId="516DE898">
      <w:pPr>
        <w:keepNext w:val="0"/>
        <w:spacing w:before="0" w:after="0" w:line="360" w:lineRule="auto"/>
        <w:ind w:firstLine="709"/>
        <w:jc w:val="both"/>
      </w:pPr>
      <w:r>
        <w:rPr>
          <w:rFonts w:ascii="Times New Roman" w:hAnsi="Times New Roman"/>
          <w:sz w:val="24"/>
        </w:rPr>
        <w:t>A primeira limitação decorre da velocidade de transformação do campo. Plataformas alteram políticas, formatos, programas de monetização e terminologia com frequência, de modo que qualquer taxonomia precisa registrar data de corte e mecanismo de atualização. A segunda limitação é a natureza heterogênea do corpus: documentos setoriais, literatura acadêmica e materiais institucionais cumprem funções epistemológicas diferentes e não devem ser tratados como evidências equivalentes. A hierarquia metodológica proposta busca mitigar essa diferença, mas não a elimina.</w:t>
      </w:r>
    </w:p>
    <w:p w14:paraId="545A4D05">
      <w:pPr>
        <w:keepNext w:val="0"/>
        <w:spacing w:before="0" w:after="0" w:line="360" w:lineRule="auto"/>
        <w:ind w:firstLine="709"/>
        <w:jc w:val="both"/>
      </w:pPr>
      <w:r>
        <w:rPr>
          <w:rFonts w:ascii="Times New Roman" w:hAnsi="Times New Roman"/>
          <w:sz w:val="24"/>
        </w:rPr>
        <w:t>A terceira limitação é a ausência, nesta etapa, de validação empírica por painel de especialistas, entrevistas com creators, análise de contratos ou teste estatístico de confiabilidade entre classificadores. O presente estudo é conceitual e documental. Os indicadores empíricos brasileiros mobilizados na discussão cumprem função de triangulação e contextualização e não equivalem a teste de validade ou de confiabilidade da taxonomia. Uma fase posterior poderá operacionalizar o modelo e submetê-lo a validação com especialistas, empresas, creators, agências e pesquisadores. A quarta limitação diz respeito à internacionalização: categorias desenvolvidas em mercados anglófonos podem não ter correspondência perfeita no Brasil, razão pela qual a contextualização deve permanecer contínua.</w:t>
      </w:r>
    </w:p>
    <w:p w14:paraId="1C60E2C9">
      <w:pPr>
        <w:keepNext w:val="0"/>
        <w:spacing w:before="0" w:after="0" w:line="360" w:lineRule="auto"/>
        <w:ind w:firstLine="709"/>
        <w:jc w:val="both"/>
      </w:pPr>
      <w:r>
        <w:rPr>
          <w:rFonts w:ascii="Times New Roman" w:hAnsi="Times New Roman"/>
          <w:sz w:val="24"/>
        </w:rPr>
        <w:t>Por fim, algumas fronteiras são deliberadamente porosas. A classificação de influencer como agente/posição e influência como função ilustra que determinados conceitos atravessam dimensões. O objetivo da taxonomia não é eliminar toda ambiguidade, mas tornar explícita a natureza da ambiguidade e impedir que categorias heterogêneas sejam tratadas como equivalentes sem justificativa.</w:t>
      </w:r>
    </w:p>
    <w:p w14:paraId="2F599D90">
      <w:pPr>
        <w:pStyle w:val="2"/>
        <w:keepNext/>
        <w:keepLines/>
        <w:spacing w:before="240" w:after="120"/>
        <w:jc w:val="left"/>
      </w:pPr>
      <w:r>
        <w:rPr>
          <w:rFonts w:ascii="Times New Roman" w:hAnsi="Times New Roman"/>
          <w:b/>
          <w:sz w:val="24"/>
        </w:rPr>
        <w:t>8 AGENDA DE PESQUISA FUTURA</w:t>
      </w:r>
    </w:p>
    <w:p w14:paraId="63175CE1">
      <w:pPr>
        <w:keepNext w:val="0"/>
        <w:spacing w:before="0" w:after="0" w:line="360" w:lineRule="auto"/>
        <w:ind w:firstLine="709"/>
        <w:jc w:val="both"/>
      </w:pPr>
      <w:r>
        <w:rPr>
          <w:rFonts w:ascii="Times New Roman" w:hAnsi="Times New Roman"/>
          <w:sz w:val="24"/>
        </w:rPr>
        <w:t>A agenda de continuidade recomendada compreende sete frentes principais:</w:t>
      </w:r>
    </w:p>
    <w:p w14:paraId="09FAAE62">
      <w:pPr>
        <w:pStyle w:val="34"/>
        <w:spacing w:line="360" w:lineRule="auto"/>
        <w:ind w:left="709" w:hanging="283"/>
        <w:jc w:val="both"/>
      </w:pPr>
      <w:r>
        <w:rPr>
          <w:rFonts w:ascii="Times New Roman" w:hAnsi="Times New Roman"/>
          <w:sz w:val="24"/>
        </w:rPr>
        <w:t>Validação por especialistas: aplicação de método Delphi ou painel estruturado para testar clareza, completude e estabilidade das dimensões.</w:t>
      </w:r>
    </w:p>
    <w:p w14:paraId="002748DB">
      <w:pPr>
        <w:pStyle w:val="34"/>
        <w:spacing w:line="360" w:lineRule="auto"/>
        <w:ind w:left="709" w:hanging="283"/>
        <w:jc w:val="both"/>
      </w:pPr>
      <w:r>
        <w:rPr>
          <w:rFonts w:ascii="Times New Roman" w:hAnsi="Times New Roman"/>
          <w:sz w:val="24"/>
        </w:rPr>
        <w:t>Aplicação empírica: classificação de amostra de creators brasileiros e medição de concordância entre avaliadores.</w:t>
      </w:r>
    </w:p>
    <w:p w14:paraId="7E3046D9">
      <w:pPr>
        <w:pStyle w:val="34"/>
        <w:spacing w:line="360" w:lineRule="auto"/>
        <w:ind w:left="709" w:hanging="283"/>
        <w:jc w:val="both"/>
      </w:pPr>
      <w:r>
        <w:rPr>
          <w:rFonts w:ascii="Times New Roman" w:hAnsi="Times New Roman"/>
          <w:sz w:val="24"/>
        </w:rPr>
        <w:t>Economia e contratos: análise dos fluxos de receita, direitos de uso, licenciamento, exclusividade, afiliação e modelos de remuneração.</w:t>
      </w:r>
    </w:p>
    <w:p w14:paraId="4E3D78C9">
      <w:pPr>
        <w:pStyle w:val="34"/>
        <w:spacing w:line="360" w:lineRule="auto"/>
        <w:ind w:left="709" w:hanging="283"/>
        <w:jc w:val="both"/>
      </w:pPr>
      <w:r>
        <w:rPr>
          <w:rFonts w:ascii="Times New Roman" w:hAnsi="Times New Roman"/>
          <w:sz w:val="24"/>
        </w:rPr>
        <w:t>IA e autenticidade: monitoramento de virtual influencers, digital twins, agentes autônomos, conteúdos sintéticos e padrões de disclosure.</w:t>
      </w:r>
    </w:p>
    <w:p w14:paraId="217714F7">
      <w:pPr>
        <w:pStyle w:val="34"/>
        <w:spacing w:line="360" w:lineRule="auto"/>
        <w:ind w:left="709" w:hanging="283"/>
        <w:jc w:val="both"/>
      </w:pPr>
      <w:r>
        <w:rPr>
          <w:rFonts w:ascii="Times New Roman" w:hAnsi="Times New Roman"/>
          <w:sz w:val="24"/>
        </w:rPr>
        <w:t>Proteção infantojuvenil: desenvolvimento de submodelo específico para crianças e adolescentes, com foco em publicidade, direitos, trabalho, dados e desenho de plataformas.</w:t>
      </w:r>
    </w:p>
    <w:p w14:paraId="5AF4AEC2">
      <w:pPr>
        <w:pStyle w:val="34"/>
        <w:spacing w:line="360" w:lineRule="auto"/>
        <w:ind w:left="709" w:hanging="283"/>
        <w:jc w:val="both"/>
      </w:pPr>
      <w:r>
        <w:rPr>
          <w:rFonts w:ascii="Times New Roman" w:hAnsi="Times New Roman"/>
          <w:sz w:val="24"/>
        </w:rPr>
        <w:t>Mensuração: desenvolvimento de matriz que relacione audiência, engajamento, influência, conversão, brand lift, vendas e valor de longo prazo.</w:t>
      </w:r>
    </w:p>
    <w:p w14:paraId="76432904">
      <w:pPr>
        <w:pStyle w:val="34"/>
        <w:spacing w:line="360" w:lineRule="auto"/>
        <w:ind w:left="709" w:hanging="283"/>
        <w:jc w:val="both"/>
      </w:pPr>
      <w:r>
        <w:rPr>
          <w:rFonts w:ascii="Times New Roman" w:hAnsi="Times New Roman"/>
          <w:sz w:val="24"/>
        </w:rPr>
        <w:t>Diversidade e desigualdades: investigação da distribuição de oportunidades, renda, visibilidade e intermediação entre grupos sociais no mercado brasileiro.</w:t>
      </w:r>
    </w:p>
    <w:p w14:paraId="54A67EDB">
      <w:pPr>
        <w:pStyle w:val="2"/>
        <w:keepNext/>
        <w:keepLines/>
        <w:spacing w:before="240" w:after="120"/>
        <w:jc w:val="left"/>
      </w:pPr>
      <w:r>
        <w:rPr>
          <w:rFonts w:ascii="Times New Roman" w:hAnsi="Times New Roman"/>
          <w:b/>
          <w:sz w:val="24"/>
        </w:rPr>
        <w:t>9 CONSIDERAÇÕES FINAIS</w:t>
      </w:r>
    </w:p>
    <w:p w14:paraId="1AA9AC25">
      <w:pPr>
        <w:keepNext w:val="0"/>
        <w:spacing w:before="0" w:after="0" w:line="360" w:lineRule="auto"/>
        <w:ind w:firstLine="709"/>
        <w:jc w:val="both"/>
      </w:pPr>
      <w:r>
        <w:rPr>
          <w:rFonts w:ascii="Times New Roman" w:hAnsi="Times New Roman"/>
          <w:sz w:val="24"/>
        </w:rPr>
        <w:t xml:space="preserve">A análise comparada do corpus indica que uma única lista de profissões digitais é insuficiente para representar, com precisão analítica, a heterogeneidade observada na economia da criação de conteúdo. O ecossistema combina identidades, funções, formatos, relações econômicas, modelos de negócio e infraestruturas que podem se sobrepor. Reconhecer essa multidimensionalidade constitui, nesta proposta, uma estratégia de organização conceitual para produzir uma linguagem mais consistente e útil a diferentes públicos.</w:t>
      </w:r>
    </w:p>
    <w:p w14:paraId="747DB14D">
      <w:pPr>
        <w:keepNext w:val="0"/>
        <w:spacing w:before="0" w:after="0" w:line="360" w:lineRule="auto"/>
        <w:ind w:firstLine="709"/>
        <w:jc w:val="both"/>
      </w:pPr>
      <w:r>
        <w:rPr>
          <w:rFonts w:ascii="Times New Roman" w:hAnsi="Times New Roman"/>
          <w:sz w:val="24"/>
        </w:rPr>
        <w:t>A Taxonomia Brasileira Multidimensional proposta organiza o campo em seis dimensões: agente; formato e canal; função; relação econômica; negócio e monetização; intermediação e infraestrutura. A estrutura foi concebida para representar múltiplos papéis simultâneos e reduzir confusões recorrentes. Creator e influencer podem se sobrepor; afiliado não é sinônimo de influencer; UGC contratado não depende necessariamente da audiência do creator; brand ambassador descreve relação continuada com marca; creator marketplace é infraestrutura; e revenue share é mecanismo de monetização.</w:t>
      </w:r>
    </w:p>
    <w:p w14:paraId="48E62259">
      <w:pPr>
        <w:keepNext w:val="0"/>
        <w:spacing w:before="0" w:after="0" w:line="360" w:lineRule="auto"/>
        <w:ind w:firstLine="709"/>
        <w:jc w:val="both"/>
      </w:pPr>
      <w:r>
        <w:rPr>
          <w:rFonts w:ascii="Times New Roman" w:hAnsi="Times New Roman"/>
          <w:sz w:val="24"/>
        </w:rPr>
        <w:t>O modelo também oferece uma base passível de atualização diante de inteligência artificial, conteúdo sintético, mensuração e novas formas de comércio. Em vez de reconstruir toda a taxonomia a cada inovação, novos fenômenos podem ser posicionados nas dimensões existentes ou justificar a criação de subcategorias documentadas. Essa propriedade favorece a atualizabilidade do modelo em um campo de rápida transformação.</w:t>
      </w:r>
    </w:p>
    <w:p w14:paraId="48B4B746">
      <w:pPr>
        <w:keepNext w:val="0"/>
        <w:spacing w:before="0" w:after="0" w:line="360" w:lineRule="auto"/>
        <w:ind w:firstLine="709"/>
        <w:jc w:val="both"/>
      </w:pPr>
      <w:r>
        <w:rPr>
          <w:rFonts w:ascii="Times New Roman" w:hAnsi="Times New Roman"/>
          <w:sz w:val="24"/>
        </w:rPr>
        <w:t xml:space="preserve">Como contribuição à comunicação pública, a pesquisa oferece uma arquitetura que conecta rigor científico e comunicação pública. O artigo registra o caminho metodológico e a fundamentação; o Guia traduz os resultados em mapas, diagramas, cards, fluxogramas e definições curtas; e a publicação no site pode apresentar o problema, o método, os principais achados e links para os produtos completos. Com isso, a pesquisa deixa de ser apenas um glossário e se torna uma estrutura analítica capaz de apoiar debate público, práticas de mercado e estudos futuros sobre a economia da criação de conteúdo no Brasil.</w:t>
      </w:r>
    </w:p>
    <w:p w14:paraId="589D77A4">
      <w:pPr>
        <w:pStyle w:val="2"/>
        <w:keepNext/>
        <w:keepLines/>
        <w:spacing w:before="240" w:after="120"/>
        <w:jc w:val="left"/>
      </w:pPr>
      <w:r>
        <w:rPr>
          <w:rFonts w:ascii="Times New Roman" w:hAnsi="Times New Roman"/>
          <w:b/>
          <w:sz w:val="24"/>
        </w:rPr>
        <w:t>REFERÊNCIAS</w:t>
      </w:r>
    </w:p>
    <w:p w14:paraId="0F999134">
      <w:pPr>
        <w:spacing w:after="120" w:line="240" w:lineRule="auto" w:before="0"/>
        <w:jc w:val="left"/>
      </w:pPr>
      <w:r>
        <w:rPr>
          <w:rFonts w:ascii="Times New Roman" w:hAnsi="Times New Roman"/>
          <w:sz w:val="20"/>
        </w:rPr>
        <w:t>ABIDIN, Crystal. Internet celebrity: understanding fame online. Bingley: Emerald Publishing, 2018.</w:t>
      </w:r>
    </w:p>
    <w:p w14:paraId="10D8980E">
      <w:pPr>
        <w:spacing w:after="120" w:line="240" w:lineRule="auto" w:before="0"/>
        <w:jc w:val="left"/>
      </w:pPr>
      <w:r>
        <w:rPr>
          <w:rFonts w:ascii="Times New Roman" w:hAnsi="Times New Roman"/>
          <w:sz w:val="20"/>
        </w:rPr>
        <w:t>ASSOCIAÇÃO BRASILEIRA DE NORMAS TÉCNICAS. ABNT NBR 10520:2023: informação e documentação - citações em documentos - apresentação. Rio de Janeiro: ABNT, 2023.</w:t>
      </w:r>
    </w:p>
    <w:p w14:paraId="254F2ECE">
      <w:pPr>
        <w:spacing w:after="120" w:line="240" w:lineRule="auto" w:before="0"/>
        <w:jc w:val="left"/>
      </w:pPr>
      <w:r>
        <w:rPr>
          <w:rFonts w:ascii="Times New Roman" w:hAnsi="Times New Roman"/>
          <w:sz w:val="20"/>
        </w:rPr>
        <w:t>ASSOCIAÇÃO BRASILEIRA DE NORMAS TÉCNICAS. ABNT NBR 14724:2024: informação e documentação - trabalhos acadêmicos - apresentação. Rio de Janeiro: ABNT, 2024. Versão corrigida em 2025.</w:t>
      </w:r>
    </w:p>
    <w:p w14:paraId="4F2FD90C">
      <w:pPr>
        <w:spacing w:after="120" w:line="240" w:lineRule="auto" w:before="0"/>
        <w:jc w:val="left"/>
      </w:pPr>
      <w:r>
        <w:rPr>
          <w:rFonts w:ascii="Times New Roman" w:hAnsi="Times New Roman"/>
          <w:sz w:val="20"/>
        </w:rPr>
        <w:t>ASSOCIAÇÃO BRASILEIRA DE NORMAS TÉCNICAS. ABNT NBR 6023:2018: informação e documentação - referências - elaboração. Rio de Janeiro: ABNT, 2018.</w:t>
      </w:r>
    </w:p>
    <w:p w14:paraId="64D83F0F">
      <w:pPr>
        <w:spacing w:after="120" w:line="240" w:lineRule="auto" w:before="0"/>
        <w:jc w:val="left"/>
      </w:pPr>
      <w:r>
        <w:rPr>
          <w:rFonts w:ascii="Times New Roman" w:hAnsi="Times New Roman"/>
          <w:sz w:val="20"/>
        </w:rPr>
        <w:t>ASSOCIAÇÃO BRASILEIRA DE NORMAS TÉCNICAS. ABNT NBR 6028:2021: informação e documentação - resumo, resenha e recensão - apresentação. Rio de Janeiro: ABNT, 2021.</w:t>
      </w:r>
    </w:p>
    <w:p w14:paraId="0640E8E2">
      <w:pPr>
        <w:spacing w:after="120" w:line="240" w:lineRule="auto" w:before="0"/>
        <w:jc w:val="left"/>
      </w:pPr>
      <w:r>
        <w:rPr>
          <w:rFonts w:ascii="Times New Roman" w:hAnsi="Times New Roman"/>
          <w:sz w:val="20"/>
        </w:rPr>
        <w:t>CONAR - CONSELHO NACIONAL DE AUTORREGULAMENTAÇÃO PUBLICITÁRIA. Guia de Marketing e Publicidade por Influenciadores Digitais. São Paulo, 2026. Disponível em: https://www.conar.org.br/noticias/guia-de-marketing-e-publicidade-por-influenciadores-digitais. Acesso em: 16 set. 2026.</w:t>
      </w:r>
    </w:p>
    <w:p w14:paraId="37321326">
      <w:pPr>
        <w:spacing w:after="120" w:line="240" w:lineRule="auto" w:before="0"/>
        <w:jc w:val="left"/>
      </w:pPr>
      <w:r>
        <w:rPr>
          <w:rFonts w:ascii="Times New Roman" w:hAnsi="Times New Roman"/>
          <w:sz w:val="20"/>
        </w:rPr>
        <w:t>CUNNINGHAM, Stuart; CRAIG, David. Social media entertainment: the new intersection of Hollywood and Silicon Valley. New York: NYU Press, 2019.</w:t>
      </w:r>
    </w:p>
    <w:p w14:paraId="5E02D7B5">
      <w:pPr>
        <w:spacing w:after="120" w:line="240" w:lineRule="auto" w:before="0"/>
        <w:jc w:val="left"/>
      </w:pPr>
      <w:r>
        <w:rPr>
          <w:rFonts w:ascii="Times New Roman" w:hAnsi="Times New Roman"/>
          <w:sz w:val="20"/>
        </w:rPr>
        <w:t>DUFFY, Brooke Erin. (Not) getting paid to do what you love: gender, social media, and aspirational work. New Haven: Yale University Press, 2017.</w:t>
      </w:r>
    </w:p>
    <w:p w14:paraId="0FE74E0D">
      <w:pPr>
        <w:spacing w:after="120" w:line="240" w:lineRule="auto" w:before="0"/>
        <w:jc w:val="left"/>
      </w:pPr>
      <w:r>
        <w:rPr>
          <w:rFonts w:ascii="Times New Roman" w:hAnsi="Times New Roman"/>
          <w:sz w:val="20"/>
        </w:rPr>
        <w:t>EUROPEAN COMMISSION. Influencer Legal Hub. Brussels, 2023-. Disponível em: https://commission.europa.eu/topics/consumers/consumer-rights-and-complaints/influencer-legal-hub_en. Acesso em: 16 set. 2026.</w:t>
      </w:r>
    </w:p>
    <w:p w14:paraId="4D713ED0">
      <w:pPr>
        <w:spacing w:after="120" w:line="240" w:lineRule="auto" w:before="0"/>
        <w:jc w:val="left"/>
      </w:pPr>
      <w:r>
        <w:rPr>
          <w:rFonts w:ascii="Times New Roman" w:hAnsi="Times New Roman"/>
          <w:sz w:val="20"/>
        </w:rPr>
        <w:t>EUROPEAN UNION INTELLECTUAL PROPERTY OFFICE (EUIPO); EUROPEAN COMMISSION. IP for Influencers. [S. l.], [s.d.]. Disponível em: https://www.euipo.europa.eu/en/observatory/awareness/ideas-powered/ip-for-influencers. Acesso em: 16 set. 2026.</w:t>
      </w:r>
    </w:p>
    <w:p w14:paraId="5E6B7B50">
      <w:pPr>
        <w:spacing w:after="120" w:line="240" w:lineRule="auto" w:before="0"/>
        <w:jc w:val="left"/>
      </w:pPr>
      <w:r>
        <w:rPr>
          <w:rFonts w:ascii="Times New Roman" w:hAnsi="Times New Roman"/>
          <w:sz w:val="20"/>
        </w:rPr>
        <w:t>FEDERAL TRADE COMMISSION. Disclosures 101 for Social Media Influencers. Washington, DC, 2019. Disponível em: https://www.ftc.gov/business-guidance/resources/disclosures-101-social-media-influencers. Acesso em: 16 set. 2026.</w:t>
      </w:r>
    </w:p>
    <w:p w14:paraId="7FD7E5AC">
      <w:pPr>
        <w:spacing w:after="120" w:line="240" w:lineRule="auto" w:before="0"/>
        <w:jc w:val="left"/>
      </w:pPr>
      <w:r>
        <w:rPr>
          <w:rFonts w:ascii="Times New Roman" w:hAnsi="Times New Roman"/>
          <w:sz w:val="20"/>
        </w:rPr>
        <w:t>FEDERAL TRADE COMMISSION. FTC's Endorsement Guides: What People Are Asking. Washington, DC, 2023. Disponível em: https://www.ftc.gov/business-guidance/resources/ftcs-endorsement-guides-what-people-are-asking. Acesso em: 16 set. 2026.</w:t>
      </w:r>
    </w:p>
    <w:p w14:paraId="4282F829">
      <w:pPr>
        <w:spacing w:after="120" w:line="240" w:lineRule="auto" w:before="0"/>
        <w:jc w:val="left"/>
      </w:pPr>
      <w:r>
        <w:rPr>
          <w:rFonts w:ascii="Times New Roman" w:hAnsi="Times New Roman"/>
          <w:sz w:val="20"/>
        </w:rPr>
        <w:t>HUND, Emily. The influencer industry: the quest for authenticity on social media. Princeton: Princeton University Press, 2023.</w:t>
      </w:r>
    </w:p>
    <w:p w14:paraId="16D5AE27">
      <w:pPr>
        <w:spacing w:after="120" w:line="240" w:lineRule="auto" w:before="0"/>
        <w:jc w:val="left"/>
      </w:pPr>
      <w:r>
        <w:t xml:space="preserve">IAB - INTERACTIVE ADVERTISING BUREAU. Economia da criação de conteúdo: definições e taxonomia [título traduzido]. New York, 9 Apr. 2025a. Disponível em: </w:t>
      </w:r>
      <w:hyperlink r:id="rId14">
        <w:r>
          <w:rPr>
            <w:rStyle w:val="Hyperlink"/>
          </w:rPr>
          <w:t>Acessar fonte</w:t>
        </w:r>
      </w:hyperlink>
      <w:r>
        <w:t>.</w:t>
      </w:r>
      <w:r>
        <w:t xml:space="preserve"> Acesso em: 16 set. 2026.</w:t>
      </w:r>
    </w:p>
    <w:p w14:paraId="1FF61DD1">
      <w:pPr>
        <w:spacing w:after="120" w:line="240" w:lineRule="auto" w:before="0"/>
        <w:jc w:val="left"/>
      </w:pPr>
      <w:r>
        <w:t xml:space="preserve">IAB - INTERACTIVE ADVERTISING BUREAU. Mapa do ecossistema da economia da criação de conteúdo [título traduzido]. New York, versão final atualizada em 25 fev. 2025b. Disponível em: </w:t>
      </w:r>
      <w:hyperlink r:id="rId15">
        <w:r>
          <w:rPr>
            <w:rStyle w:val="Hyperlink"/>
          </w:rPr>
          <w:t>Acessar fonte</w:t>
        </w:r>
      </w:hyperlink>
      <w:r>
        <w:t>.</w:t>
      </w:r>
      <w:r>
        <w:t xml:space="preserve"> Acesso em: 16 set. 2026.</w:t>
      </w:r>
    </w:p>
    <w:p w14:paraId="726B3F30">
      <w:pPr>
        <w:spacing w:after="120" w:line="240" w:lineRule="auto" w:before="0"/>
        <w:jc w:val="left"/>
      </w:pPr>
      <w:r>
        <w:t xml:space="preserve">IAB - INTERACTIVE ADVERTISING BUREAU. O panorama da mensuração na economia da criação de conteúdo [título traduzido]. New York, 29 Jan. 2026a. Disponível em: </w:t>
      </w:r>
      <w:hyperlink r:id="rId16">
        <w:r>
          <w:rPr>
            <w:rStyle w:val="Hyperlink"/>
          </w:rPr>
          <w:t>Acessar fonte</w:t>
        </w:r>
      </w:hyperlink>
      <w:r>
        <w:t>.</w:t>
      </w:r>
      <w:r>
        <w:t xml:space="preserve"> Acesso em: 16 set. 2026.</w:t>
      </w:r>
    </w:p>
    <w:p w14:paraId="62EAA0D7">
      <w:pPr>
        <w:spacing w:after="120" w:line="240" w:lineRule="auto" w:before="0"/>
        <w:jc w:val="left"/>
      </w:pPr>
      <w:r>
        <w:rPr>
          <w:rFonts w:ascii="Times New Roman" w:hAnsi="Times New Roman"/>
          <w:sz w:val="20"/>
        </w:rPr>
        <w:t>IAB - INTERACTIVE ADVERTISING BUREAU. AI Transparency &amp; Disclosure Framework V2. New York, 18 Aug. 2026b. Disponível em: https://www.iab.com/guidelines/ai-transparency-disclosure-standards-v2/. Acesso em: 16 set. 2026.</w:t>
      </w:r>
    </w:p>
    <w:p w14:paraId="7038CA6C">
      <w:pPr>
        <w:spacing w:after="120" w:line="240" w:lineRule="auto" w:before="0"/>
        <w:jc w:val="left"/>
      </w:pPr>
      <w:r>
        <w:t xml:space="preserve">IAB BRASIL. Mapa mental do ecossistema da economia da criação de conteúdo. São Paulo, 27 fev. 2025a. Disponível em: </w:t>
      </w:r>
      <w:hyperlink r:id="rId17">
        <w:r>
          <w:rPr>
            <w:rStyle w:val="Hyperlink"/>
          </w:rPr>
          <w:t>Acessar fonte</w:t>
        </w:r>
      </w:hyperlink>
      <w:r>
        <w:t>.</w:t>
      </w:r>
      <w:r>
        <w:t xml:space="preserve"> Acesso em: 16 set. 2026.</w:t>
      </w:r>
    </w:p>
    <w:p w14:paraId="1D3105D8">
      <w:pPr>
        <w:spacing w:after="120" w:line="240" w:lineRule="auto" w:before="0"/>
        <w:jc w:val="left"/>
      </w:pPr>
      <w:r>
        <w:t xml:space="preserve">IAB BRASIL. IA na economia da criação de conteúdo: Escala, Autenticidade e Impacto. São Paulo, 1 ago. 2025b. Disponível em: </w:t>
      </w:r>
      <w:hyperlink r:id="rId18">
        <w:r>
          <w:rPr>
            <w:rStyle w:val="Hyperlink"/>
          </w:rPr>
          <w:t>Acessar fonte</w:t>
        </w:r>
      </w:hyperlink>
      <w:r>
        <w:t>.</w:t>
      </w:r>
      <w:r>
        <w:t xml:space="preserve"> Acesso em: 16 set. 2026.</w:t>
      </w:r>
    </w:p>
    <w:p w14:paraId="40B99F41">
      <w:pPr>
        <w:spacing w:after="120" w:line="240" w:lineRule="auto" w:before="0"/>
        <w:jc w:val="left"/>
      </w:pPr>
      <w:r>
        <w:t xml:space="preserve">IAB BRASIL; DIGITAL FAVELA. Publicidade digital na economia da criação de conteúdo: práticas para uma abordagem ética e transparente. São Paulo, 2024. Disponível em: </w:t>
      </w:r>
      <w:hyperlink r:id="rId19">
        <w:r>
          <w:rPr>
            <w:rStyle w:val="Hyperlink"/>
          </w:rPr>
          <w:t>Acessar fonte</w:t>
        </w:r>
      </w:hyperlink>
      <w:r>
        <w:t>.</w:t>
      </w:r>
      <w:r>
        <w:t xml:space="preserve"> Acesso em: 16 set. 2026.</w:t>
      </w:r>
    </w:p>
    <w:p w14:paraId="35533BAB">
      <w:pPr>
        <w:spacing w:after="120" w:line="240" w:lineRule="auto" w:before="0"/>
        <w:jc w:val="left"/>
      </w:pPr>
      <w:r>
        <w:t xml:space="preserve">IAB BRASIL; OFFERWISE. Pesquisa #Publi 2024: O impacto da economia da criação de conteúdo entre gerações do Brasil. São Paulo, 2024. Disponível em: </w:t>
      </w:r>
      <w:hyperlink r:id="rId20">
        <w:r>
          <w:rPr>
            <w:rStyle w:val="Hyperlink"/>
          </w:rPr>
          <w:t>Acessar fonte</w:t>
        </w:r>
      </w:hyperlink>
      <w:r>
        <w:t>.</w:t>
      </w:r>
      <w:r>
        <w:t xml:space="preserve"> Acesso em: 16 set. 2026.</w:t>
      </w:r>
    </w:p>
    <w:p w14:paraId="509FD20F">
      <w:pPr>
        <w:spacing w:after="120" w:line="240" w:lineRule="auto" w:before="0"/>
        <w:jc w:val="left"/>
      </w:pPr>
      <w:r>
        <w:t xml:space="preserve">IAB BRASIL; OFFERWISE. Pesquisa #Publi 2025: identificação e autenticidade na economia da criação de conteúdo. São Paulo, 2025. Disponível em: </w:t>
      </w:r>
      <w:hyperlink r:id="rId21">
        <w:r>
          <w:rPr>
            <w:rStyle w:val="Hyperlink"/>
          </w:rPr>
          <w:t>Acessar fonte</w:t>
        </w:r>
      </w:hyperlink>
      <w:r>
        <w:t>.</w:t>
      </w:r>
      <w:r>
        <w:t xml:space="preserve"> Acesso em: 16 set. 2026.</w:t>
      </w:r>
    </w:p>
    <w:p w14:paraId="2E32D9F2">
      <w:pPr>
        <w:spacing w:after="120" w:line="240" w:lineRule="auto" w:before="0"/>
        <w:jc w:val="left"/>
      </w:pPr>
      <w:r>
        <w:rPr>
          <w:rFonts w:ascii="Times New Roman" w:hAnsi="Times New Roman"/>
          <w:sz w:val="20"/>
        </w:rPr>
        <w:t>ISBA - INCORPORATED SOCIETY OF BRITISH ADVERTISERS; IMTB - INFLUENCER MARKETING TRADE BODY. Influencer Marketing Code of Conduct. Version 4. London, 28 nov. 2024. Disponível em: https://www.isba.org.uk/knowledge/isba-imtb-influencer-marketing-code-conduct-version-4. Acesso em: 16 set. 2026.</w:t>
      </w:r>
    </w:p>
    <w:p w14:paraId="7F35D4C3">
      <w:pPr>
        <w:spacing w:after="120" w:line="240" w:lineRule="auto" w:before="0"/>
        <w:jc w:val="left"/>
      </w:pPr>
      <w:r>
        <w:rPr>
          <w:rFonts w:ascii="Times New Roman" w:hAnsi="Times New Roman"/>
          <w:sz w:val="20"/>
        </w:rPr>
        <w:t>KARHAWI, Issaaf. Influenciadores digitais: conceitos e práticas em discussão. Communicare, São Paulo, v. 17, edição especial, 2017.</w:t>
      </w:r>
    </w:p>
    <w:p w14:paraId="0F6244D3">
      <w:pPr>
        <w:spacing w:after="120" w:line="240" w:lineRule="auto" w:before="0"/>
        <w:jc w:val="left"/>
      </w:pPr>
      <w:r>
        <w:rPr>
          <w:rFonts w:ascii="Times New Roman" w:hAnsi="Times New Roman"/>
          <w:sz w:val="20"/>
        </w:rPr>
        <w:t>KARHAWI, Issaaf. Entre algoritmos, métricas de engajamento e plataformas digitais: influenciadores digitais e trabalho de visibilidade. Revista Latinoamericana de Ciencias de la Comunicación, v. 23, n. 46, 2024. DOI: https://doi.org/10.55738/alaic.v23i46.1144. Disponível em: https://revista.pubalaic.org/index.php/alaic/article/view/1144. Acesso em: 16 set. 2026.</w:t>
      </w:r>
    </w:p>
    <w:p w14:paraId="51C2887A">
      <w:pPr>
        <w:spacing w:after="120" w:line="240" w:lineRule="auto" w:before="0"/>
        <w:jc w:val="left"/>
      </w:pPr>
      <w:r>
        <w:rPr>
          <w:rFonts w:ascii="Times New Roman" w:hAnsi="Times New Roman"/>
          <w:sz w:val="20"/>
        </w:rPr>
        <w:t>KARHAWI, Issaaf; PRAZERES, Michelle. Exaustão algorítmica: influenciadores digitais, trabalho de plataforma e saúde mental. RECIIS - Revista Eletrônica de Comunicação, Informação e Inovação em Saúde, v. 16, n. 4, p. 800-819, 2022. DOI: https://doi.org/10.29397/reciis.v16i4.3378.</w:t>
      </w:r>
    </w:p>
    <w:p w14:paraId="6E825389">
      <w:pPr>
        <w:spacing w:after="120" w:line="240" w:lineRule="auto" w:before="0"/>
        <w:jc w:val="left"/>
      </w:pPr>
      <w:r>
        <w:rPr>
          <w:rFonts w:ascii="Times New Roman" w:hAnsi="Times New Roman"/>
          <w:sz w:val="20"/>
        </w:rPr>
        <w:t xml:space="preserve">PEREIRA, Danilo Nunes Dias; BORGES, Júlia de Aquino V. G. Mapeando o ecossistema da economia da criação de conteúdo no Brasil. In: CONGRESSO BRASILEIRO DE CIÊNCIAS DA COMUNICAÇÃO, 47., 2024, Balneário Camboriú. Anais [...]. São Paulo: Intercom, 2024. Disponível em: https://sistemas.intercom.org.br/pdf/link_aceite/nacional/17/1010202422341367088095def34.pdf. Acesso em: 16 set. 2026.</w:t>
      </w:r>
    </w:p>
    <w:p w14:paraId="689D36DD">
      <w:pPr>
        <w:spacing w:after="120" w:line="240" w:lineRule="auto" w:before="0"/>
        <w:jc w:val="left"/>
      </w:pPr>
      <w:r>
        <w:rPr>
          <w:rFonts w:ascii="Times New Roman" w:hAnsi="Times New Roman"/>
          <w:sz w:val="20"/>
        </w:rPr>
        <w:t>POELL, Thomas; NIEBORG, David B.; DUFFY, Brooke Erin. Platforms and cultural production. Cambridge: Polity Press, 2022.</w:t>
      </w:r>
    </w:p>
    <w:p>
      <w:pPr>
        <w:spacing w:line="240" w:lineRule="auto" w:before="0" w:after="120"/>
        <w:jc w:val="left"/>
      </w:pPr>
      <w:r>
        <w:t xml:space="preserve">YOUPIX. Mapa brasileiro da economia da criação de conteúdo. São Paulo, atualização set. 2025. Disponível em: </w:t>
      </w:r>
      <w:hyperlink r:id="rId22">
        <w:r>
          <w:rPr>
            <w:rStyle w:val="Hyperlink"/>
          </w:rPr>
          <w:t xml:space="preserve">Acessar fonte</w:t>
        </w:r>
      </w:hyperlink>
      <w:r>
        <w:t xml:space="preserve">.</w:t>
      </w:r>
      <w:r>
        <w:t xml:space="preserve"> Acesso em: 16 set. 2026.</w:t>
      </w:r>
    </w:p>
    <w:p>
      <w:pPr>
        <w:spacing w:line="240" w:lineRule="auto" w:before="0" w:after="120"/>
        <w:jc w:val="left"/>
      </w:pPr>
      <w:r>
        <w:rPr>
          <w:rFonts w:ascii="Times New Roman" w:hAnsi="Times New Roman"/>
          <w:sz w:val="24"/>
        </w:rPr>
        <w:t>YOUPIX; BRUNCH. Creators &amp; Negócios 2025. 6. ed. São Paulo, 2025. Disponível em: https://members.youpix.com.br/pesquisa-creators-negocios-2025. Acesso em: 16 set. 2026.</w:t>
      </w:r>
    </w:p>
    <w:p w14:paraId="6F5C802E">
      <w:pPr>
        <w:pStyle w:val="2"/>
        <w:keepNext/>
        <w:keepLines/>
        <w:spacing w:before="240" w:after="120"/>
        <w:jc w:val="left"/>
      </w:pPr>
      <w:r>
        <w:rPr>
          <w:rFonts w:ascii="Times New Roman" w:hAnsi="Times New Roman"/>
          <w:b/>
          <w:sz w:val="24"/>
        </w:rPr>
        <w:t>APÊNDICE A - MATRIZ DOS 16 CADERNOS DE PESQUISA E PRODUÇÃO</w:t>
      </w:r>
    </w:p>
    <w:p w14:paraId="633F3614">
      <w:pPr>
        <w:keepNext w:val="0"/>
        <w:spacing w:before="0" w:after="0" w:line="360" w:lineRule="auto"/>
        <w:ind w:firstLine="709"/>
        <w:jc w:val="both"/>
      </w:pPr>
      <w:r>
        <w:rPr>
          <w:rFonts w:ascii="Times New Roman" w:hAnsi="Times New Roman"/>
          <w:sz w:val="24"/>
        </w:rPr>
        <w:t>A matriz abaixo organiza a trilha de produção documental que sustenta o Guia e permite preservar evidências, decisões conceituais, versões e controle de qualidade. O artigo científico funciona como síntese analítica; os cadernos preservam a granularidade operacional da pesquisa.</w:t>
      </w:r>
    </w:p>
    <w:tbl>
      <w:tblPr>
        <w:tblStyle w:val="3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7"/>
        <w:gridCol w:w="2227"/>
        <w:gridCol w:w="4819"/>
        <w:gridCol w:w="1672"/>
      </w:tblGrid>
      <w:tr w14:paraId="14A0B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cantSplit/>
        </w:trPr>
        <w:tc>
          <w:tcPr>
            <w:tcW w:w="850" w:type="dxa"/>
            <w:shd w:val="clear" w:color="auto" w:fill="D9E2F3"/>
            <w:tcMar>
              <w:top w:w="80" w:type="dxa"/>
              <w:left w:w="80" w:type="dxa"/>
              <w:bottom w:w="80" w:type="dxa"/>
              <w:right w:w="80" w:type="dxa"/>
            </w:tcMar>
            <w:vAlign w:val="center"/>
          </w:tcPr>
          <w:p w14:paraId="28B960A8">
            <w:pPr>
              <w:spacing w:after="0" w:line="240" w:lineRule="auto"/>
              <w:jc w:val="center"/>
            </w:pPr>
            <w:r>
              <w:rPr>
                <w:rFonts w:ascii="Times New Roman" w:hAnsi="Times New Roman" w:eastAsia="Times New Roman"/>
                <w:b/>
                <w:sz w:val="17"/>
              </w:rPr>
              <w:t>Caderno</w:t>
            </w:r>
          </w:p>
        </w:tc>
        <w:tc>
          <w:tcPr>
            <w:tcW w:w="2268" w:type="dxa"/>
            <w:shd w:val="clear" w:color="auto" w:fill="D9E2F3"/>
            <w:tcMar>
              <w:top w:w="80" w:type="dxa"/>
              <w:left w:w="80" w:type="dxa"/>
              <w:bottom w:w="80" w:type="dxa"/>
              <w:right w:w="80" w:type="dxa"/>
            </w:tcMar>
            <w:vAlign w:val="center"/>
          </w:tcPr>
          <w:p w14:paraId="0765E2F7">
            <w:pPr>
              <w:spacing w:after="0" w:line="240" w:lineRule="auto"/>
              <w:jc w:val="center"/>
            </w:pPr>
            <w:r>
              <w:rPr>
                <w:rFonts w:ascii="Times New Roman" w:hAnsi="Times New Roman" w:eastAsia="Times New Roman"/>
                <w:b/>
                <w:sz w:val="17"/>
              </w:rPr>
              <w:t>Frente</w:t>
            </w:r>
          </w:p>
        </w:tc>
        <w:tc>
          <w:tcPr>
            <w:tcW w:w="4989" w:type="dxa"/>
            <w:shd w:val="clear" w:color="auto" w:fill="D9E2F3"/>
            <w:tcMar>
              <w:top w:w="80" w:type="dxa"/>
              <w:left w:w="80" w:type="dxa"/>
              <w:bottom w:w="80" w:type="dxa"/>
              <w:right w:w="80" w:type="dxa"/>
            </w:tcMar>
            <w:vAlign w:val="center"/>
          </w:tcPr>
          <w:p w14:paraId="3CE6B436">
            <w:pPr>
              <w:spacing w:after="0" w:line="240" w:lineRule="auto"/>
              <w:jc w:val="center"/>
            </w:pPr>
            <w:r>
              <w:rPr>
                <w:rFonts w:ascii="Times New Roman" w:hAnsi="Times New Roman" w:eastAsia="Times New Roman"/>
                <w:b/>
                <w:sz w:val="17"/>
              </w:rPr>
              <w:t>Entrega principal</w:t>
            </w:r>
          </w:p>
        </w:tc>
        <w:tc>
          <w:tcPr>
            <w:tcW w:w="1701" w:type="dxa"/>
            <w:shd w:val="clear" w:color="auto" w:fill="D9E2F3"/>
            <w:tcMar>
              <w:top w:w="80" w:type="dxa"/>
              <w:left w:w="80" w:type="dxa"/>
              <w:bottom w:w="80" w:type="dxa"/>
              <w:right w:w="80" w:type="dxa"/>
            </w:tcMar>
            <w:vAlign w:val="center"/>
          </w:tcPr>
          <w:p w14:paraId="7FA6FDE6">
            <w:pPr>
              <w:spacing w:after="0" w:line="240" w:lineRule="auto"/>
              <w:jc w:val="center"/>
            </w:pPr>
            <w:r>
              <w:rPr>
                <w:rFonts w:ascii="Times New Roman" w:hAnsi="Times New Roman" w:eastAsia="Times New Roman"/>
                <w:b/>
                <w:sz w:val="17"/>
              </w:rPr>
              <w:t>Status</w:t>
            </w:r>
          </w:p>
        </w:tc>
      </w:tr>
      <w:tr w14:paraId="5CCB9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cantSplit/>
        </w:trPr>
        <w:tc>
          <w:tcPr>
            <w:tcW w:w="850" w:type="dxa"/>
            <w:tcMar>
              <w:top w:w="80" w:type="dxa"/>
              <w:left w:w="80" w:type="dxa"/>
              <w:bottom w:w="80" w:type="dxa"/>
              <w:right w:w="80" w:type="dxa"/>
            </w:tcMar>
            <w:vAlign w:val="top"/>
          </w:tcPr>
          <w:p w14:paraId="08C34E1A">
            <w:pPr>
              <w:spacing w:after="0" w:line="240" w:lineRule="auto"/>
              <w:jc w:val="left"/>
            </w:pPr>
            <w:r>
              <w:rPr>
                <w:rFonts w:ascii="Times New Roman" w:hAnsi="Times New Roman" w:eastAsia="Times New Roman"/>
                <w:sz w:val="17"/>
              </w:rPr>
              <w:t>01</w:t>
            </w:r>
          </w:p>
        </w:tc>
        <w:tc>
          <w:tcPr>
            <w:tcW w:w="2268" w:type="dxa"/>
            <w:tcMar>
              <w:top w:w="80" w:type="dxa"/>
              <w:left w:w="80" w:type="dxa"/>
              <w:bottom w:w="80" w:type="dxa"/>
              <w:right w:w="80" w:type="dxa"/>
            </w:tcMar>
            <w:vAlign w:val="top"/>
          </w:tcPr>
          <w:p w14:paraId="2CB5D52A">
            <w:pPr>
              <w:spacing w:after="0" w:line="240" w:lineRule="auto"/>
              <w:jc w:val="left"/>
            </w:pPr>
            <w:r>
              <w:rPr>
                <w:rFonts w:ascii="Times New Roman" w:hAnsi="Times New Roman" w:eastAsia="Times New Roman"/>
                <w:sz w:val="17"/>
              </w:rPr>
              <w:t>Plano Mestre</w:t>
            </w:r>
          </w:p>
        </w:tc>
        <w:tc>
          <w:tcPr>
            <w:tcW w:w="4989" w:type="dxa"/>
            <w:tcMar>
              <w:top w:w="80" w:type="dxa"/>
              <w:left w:w="80" w:type="dxa"/>
              <w:bottom w:w="80" w:type="dxa"/>
              <w:right w:w="80" w:type="dxa"/>
            </w:tcMar>
            <w:vAlign w:val="top"/>
          </w:tcPr>
          <w:p w14:paraId="19E88FB6">
            <w:pPr>
              <w:spacing w:after="0" w:line="240" w:lineRule="auto"/>
              <w:jc w:val="left"/>
            </w:pPr>
            <w:r>
              <w:rPr>
                <w:rFonts w:ascii="Times New Roman" w:hAnsi="Times New Roman" w:eastAsia="Times New Roman"/>
                <w:sz w:val="17"/>
              </w:rPr>
              <w:t>Problema, hipótese, objetivos, método, evidências, escopo e QA.</w:t>
            </w:r>
          </w:p>
        </w:tc>
        <w:tc>
          <w:tcPr>
            <w:tcW w:w="1701" w:type="dxa"/>
            <w:tcMar>
              <w:top w:w="80" w:type="dxa"/>
              <w:left w:w="80" w:type="dxa"/>
              <w:bottom w:w="80" w:type="dxa"/>
              <w:right w:w="80" w:type="dxa"/>
            </w:tcMar>
            <w:vAlign w:val="top"/>
          </w:tcPr>
          <w:p w14:paraId="2187D3FC">
            <w:pPr>
              <w:spacing w:after="0" w:line="240" w:lineRule="auto"/>
              <w:jc w:val="left"/>
            </w:pPr>
            <w:r>
              <w:rPr>
                <w:rFonts w:ascii="Times New Roman" w:hAnsi="Times New Roman" w:eastAsia="Times New Roman"/>
                <w:sz w:val="17"/>
              </w:rPr>
              <w:t>Concluído</w:t>
            </w:r>
          </w:p>
        </w:tc>
      </w:tr>
      <w:tr w14:paraId="6C237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cantSplit/>
        </w:trPr>
        <w:tc>
          <w:tcPr>
            <w:tcW w:w="850" w:type="dxa"/>
            <w:tcMar>
              <w:top w:w="80" w:type="dxa"/>
              <w:left w:w="80" w:type="dxa"/>
              <w:bottom w:w="80" w:type="dxa"/>
              <w:right w:w="80" w:type="dxa"/>
            </w:tcMar>
            <w:vAlign w:val="top"/>
          </w:tcPr>
          <w:p w14:paraId="5FD46D20">
            <w:pPr>
              <w:spacing w:after="0" w:line="240" w:lineRule="auto"/>
              <w:jc w:val="left"/>
            </w:pPr>
            <w:r>
              <w:rPr>
                <w:rFonts w:ascii="Times New Roman" w:hAnsi="Times New Roman" w:eastAsia="Times New Roman"/>
                <w:sz w:val="17"/>
              </w:rPr>
              <w:t>02</w:t>
            </w:r>
          </w:p>
        </w:tc>
        <w:tc>
          <w:tcPr>
            <w:tcW w:w="2268" w:type="dxa"/>
            <w:tcMar>
              <w:top w:w="80" w:type="dxa"/>
              <w:left w:w="80" w:type="dxa"/>
              <w:bottom w:w="80" w:type="dxa"/>
              <w:right w:w="80" w:type="dxa"/>
            </w:tcMar>
            <w:vAlign w:val="top"/>
          </w:tcPr>
          <w:p w14:paraId="0B2B7C1E">
            <w:pPr>
              <w:spacing w:after="0" w:line="240" w:lineRule="auto"/>
              <w:jc w:val="left"/>
            </w:pPr>
            <w:r>
              <w:rPr>
                <w:rFonts w:ascii="Times New Roman" w:hAnsi="Times New Roman" w:eastAsia="Times New Roman"/>
                <w:sz w:val="17"/>
              </w:rPr>
              <w:t>Banco de fontes</w:t>
            </w:r>
          </w:p>
        </w:tc>
        <w:tc>
          <w:tcPr>
            <w:tcW w:w="4989" w:type="dxa"/>
            <w:tcMar>
              <w:top w:w="80" w:type="dxa"/>
              <w:left w:w="80" w:type="dxa"/>
              <w:bottom w:w="80" w:type="dxa"/>
              <w:right w:w="80" w:type="dxa"/>
            </w:tcMar>
            <w:vAlign w:val="top"/>
          </w:tcPr>
          <w:p w14:paraId="4DF5005A">
            <w:pPr>
              <w:spacing w:after="0" w:line="240" w:lineRule="auto"/>
              <w:jc w:val="left"/>
            </w:pPr>
            <w:r>
              <w:rPr>
                <w:rFonts w:ascii="Times New Roman" w:hAnsi="Times New Roman" w:eastAsia="Times New Roman"/>
                <w:sz w:val="17"/>
              </w:rPr>
              <w:t>Pesquisa bibliográfica, documental e de mercado com fichamento.</w:t>
            </w:r>
          </w:p>
        </w:tc>
        <w:tc>
          <w:tcPr>
            <w:tcW w:w="1701" w:type="dxa"/>
            <w:tcMar>
              <w:top w:w="80" w:type="dxa"/>
              <w:left w:w="80" w:type="dxa"/>
              <w:bottom w:w="80" w:type="dxa"/>
              <w:right w:w="80" w:type="dxa"/>
            </w:tcMar>
            <w:vAlign w:val="top"/>
          </w:tcPr>
          <w:p>
            <w:r>
              <w:rPr>
                <w:rFonts w:ascii="Times New Roman" w:hAnsi="Times New Roman" w:eastAsia="Times New Roman"/>
                <w:sz w:val="17"/>
              </w:rPr>
              <w:t>Conteúdo consolidado no artigo; fontes fechadas no Apêndice D.</w:t>
            </w:r>
          </w:p>
        </w:tc>
      </w:tr>
      <w:tr w14:paraId="40B78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cantSplit/>
        </w:trPr>
        <w:tc>
          <w:tcPr>
            <w:tcW w:w="850" w:type="dxa"/>
            <w:tcMar>
              <w:top w:w="80" w:type="dxa"/>
              <w:left w:w="80" w:type="dxa"/>
              <w:bottom w:w="80" w:type="dxa"/>
              <w:right w:w="80" w:type="dxa"/>
            </w:tcMar>
            <w:vAlign w:val="top"/>
          </w:tcPr>
          <w:p w14:paraId="26F5CAF3">
            <w:pPr>
              <w:spacing w:after="0" w:line="240" w:lineRule="auto"/>
              <w:jc w:val="left"/>
            </w:pPr>
            <w:r>
              <w:rPr>
                <w:rFonts w:ascii="Times New Roman" w:hAnsi="Times New Roman" w:eastAsia="Times New Roman"/>
                <w:sz w:val="17"/>
              </w:rPr>
              <w:t>03</w:t>
            </w:r>
          </w:p>
        </w:tc>
        <w:tc>
          <w:tcPr>
            <w:tcW w:w="2268" w:type="dxa"/>
            <w:tcMar>
              <w:top w:w="80" w:type="dxa"/>
              <w:left w:w="80" w:type="dxa"/>
              <w:bottom w:w="80" w:type="dxa"/>
              <w:right w:w="80" w:type="dxa"/>
            </w:tcMar>
            <w:vAlign w:val="top"/>
          </w:tcPr>
          <w:p w14:paraId="621D1E43">
            <w:pPr>
              <w:spacing w:after="0" w:line="240" w:lineRule="auto"/>
              <w:jc w:val="left"/>
            </w:pPr>
            <w:r>
              <w:rPr>
                <w:rFonts w:ascii="Times New Roman" w:hAnsi="Times New Roman" w:eastAsia="Times New Roman"/>
                <w:sz w:val="17"/>
              </w:rPr>
              <w:t>Matriz de evidências</w:t>
            </w:r>
          </w:p>
        </w:tc>
        <w:tc>
          <w:tcPr>
            <w:tcW w:w="4989" w:type="dxa"/>
            <w:tcMar>
              <w:top w:w="80" w:type="dxa"/>
              <w:left w:w="80" w:type="dxa"/>
              <w:bottom w:w="80" w:type="dxa"/>
              <w:right w:w="80" w:type="dxa"/>
            </w:tcMar>
            <w:vAlign w:val="top"/>
          </w:tcPr>
          <w:p w14:paraId="6B04C2A3">
            <w:pPr>
              <w:spacing w:after="0" w:line="240" w:lineRule="auto"/>
              <w:jc w:val="left"/>
            </w:pPr>
            <w:r>
              <w:rPr>
                <w:rFonts w:ascii="Times New Roman" w:hAnsi="Times New Roman" w:eastAsia="Times New Roman"/>
                <w:sz w:val="17"/>
              </w:rPr>
              <w:t>Rastreabilidade entre fontes, conceitos e decisões.</w:t>
            </w:r>
          </w:p>
        </w:tc>
        <w:tc>
          <w:tcPr>
            <w:tcW w:w="1701" w:type="dxa"/>
            <w:tcMar>
              <w:top w:w="80" w:type="dxa"/>
              <w:left w:w="80" w:type="dxa"/>
              <w:bottom w:w="80" w:type="dxa"/>
              <w:right w:w="80" w:type="dxa"/>
            </w:tcMar>
            <w:vAlign w:val="top"/>
          </w:tcPr>
          <w:p>
            <w:r>
              <w:rPr>
                <w:rFonts w:ascii="Times New Roman" w:hAnsi="Times New Roman" w:eastAsia="Times New Roman"/>
                <w:sz w:val="17"/>
              </w:rPr>
              <w:t>Rastreabilidade R1-R22 incorporada no Apêndice D.</w:t>
            </w:r>
          </w:p>
        </w:tc>
      </w:tr>
      <w:tr w14:paraId="26CC6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cantSplit/>
        </w:trPr>
        <w:tc>
          <w:tcPr>
            <w:tcW w:w="850" w:type="dxa"/>
            <w:tcMar>
              <w:top w:w="80" w:type="dxa"/>
              <w:left w:w="80" w:type="dxa"/>
              <w:bottom w:w="80" w:type="dxa"/>
              <w:right w:w="80" w:type="dxa"/>
            </w:tcMar>
            <w:vAlign w:val="top"/>
          </w:tcPr>
          <w:p w14:paraId="0D219A9B">
            <w:pPr>
              <w:spacing w:after="0" w:line="240" w:lineRule="auto"/>
              <w:jc w:val="left"/>
            </w:pPr>
            <w:r>
              <w:rPr>
                <w:rFonts w:ascii="Times New Roman" w:hAnsi="Times New Roman" w:eastAsia="Times New Roman"/>
                <w:sz w:val="17"/>
              </w:rPr>
              <w:t>04</w:t>
            </w:r>
          </w:p>
        </w:tc>
        <w:tc>
          <w:tcPr>
            <w:tcW w:w="2268" w:type="dxa"/>
            <w:tcMar>
              <w:top w:w="80" w:type="dxa"/>
              <w:left w:w="80" w:type="dxa"/>
              <w:bottom w:w="80" w:type="dxa"/>
              <w:right w:w="80" w:type="dxa"/>
            </w:tcMar>
            <w:vAlign w:val="top"/>
          </w:tcPr>
          <w:p w14:paraId="75D311DC">
            <w:pPr>
              <w:spacing w:after="0" w:line="240" w:lineRule="auto"/>
              <w:jc w:val="left"/>
            </w:pPr>
            <w:r>
              <w:rPr>
                <w:rFonts w:ascii="Times New Roman" w:hAnsi="Times New Roman" w:eastAsia="Times New Roman"/>
                <w:sz w:val="17"/>
              </w:rPr>
              <w:t>Mapeamento conceitual</w:t>
            </w:r>
          </w:p>
        </w:tc>
        <w:tc>
          <w:tcPr>
            <w:tcW w:w="4989" w:type="dxa"/>
            <w:tcMar>
              <w:top w:w="80" w:type="dxa"/>
              <w:left w:w="80" w:type="dxa"/>
              <w:bottom w:w="80" w:type="dxa"/>
              <w:right w:w="80" w:type="dxa"/>
            </w:tcMar>
            <w:vAlign w:val="top"/>
          </w:tcPr>
          <w:p w14:paraId="0B007EA1">
            <w:pPr>
              <w:spacing w:after="0" w:line="240" w:lineRule="auto"/>
              <w:jc w:val="left"/>
            </w:pPr>
            <w:r>
              <w:rPr>
                <w:rFonts w:ascii="Times New Roman" w:hAnsi="Times New Roman" w:eastAsia="Times New Roman"/>
                <w:sz w:val="17"/>
              </w:rPr>
              <w:t>Inventário de agentes, funções, formatos, relações e infraestrutura.</w:t>
            </w:r>
          </w:p>
        </w:tc>
        <w:tc>
          <w:tcPr>
            <w:tcW w:w="1701" w:type="dxa"/>
            <w:tcMar>
              <w:top w:w="80" w:type="dxa"/>
              <w:left w:w="80" w:type="dxa"/>
              <w:bottom w:w="80" w:type="dxa"/>
              <w:right w:w="80" w:type="dxa"/>
            </w:tcMar>
            <w:vAlign w:val="top"/>
          </w:tcPr>
          <w:p>
            <w:r>
              <w:rPr>
                <w:rFonts w:ascii="Times New Roman" w:hAnsi="Times New Roman" w:eastAsia="Times New Roman"/>
                <w:sz w:val="17"/>
              </w:rPr>
              <w:t>Conteúdo consolidado no artigo e no glossário taxonômico.</w:t>
            </w:r>
          </w:p>
        </w:tc>
      </w:tr>
      <w:tr w14:paraId="2BCF7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cantSplit/>
        </w:trPr>
        <w:tc>
          <w:tcPr>
            <w:tcW w:w="850" w:type="dxa"/>
            <w:tcMar>
              <w:top w:w="80" w:type="dxa"/>
              <w:left w:w="80" w:type="dxa"/>
              <w:bottom w:w="80" w:type="dxa"/>
              <w:right w:w="80" w:type="dxa"/>
            </w:tcMar>
            <w:vAlign w:val="top"/>
          </w:tcPr>
          <w:p w14:paraId="3E78CFFF">
            <w:pPr>
              <w:spacing w:after="0" w:line="240" w:lineRule="auto"/>
              <w:jc w:val="left"/>
            </w:pPr>
            <w:r>
              <w:rPr>
                <w:rFonts w:ascii="Times New Roman" w:hAnsi="Times New Roman" w:eastAsia="Times New Roman"/>
                <w:sz w:val="17"/>
              </w:rPr>
              <w:t>05</w:t>
            </w:r>
          </w:p>
        </w:tc>
        <w:tc>
          <w:tcPr>
            <w:tcW w:w="2268" w:type="dxa"/>
            <w:tcMar>
              <w:top w:w="80" w:type="dxa"/>
              <w:left w:w="80" w:type="dxa"/>
              <w:bottom w:w="80" w:type="dxa"/>
              <w:right w:w="80" w:type="dxa"/>
            </w:tcMar>
            <w:vAlign w:val="top"/>
          </w:tcPr>
          <w:p w14:paraId="6DE833A0">
            <w:pPr>
              <w:spacing w:after="0" w:line="240" w:lineRule="auto"/>
              <w:jc w:val="left"/>
            </w:pPr>
            <w:r>
              <w:rPr>
                <w:rFonts w:ascii="Times New Roman" w:hAnsi="Times New Roman" w:eastAsia="Times New Roman"/>
                <w:sz w:val="17"/>
              </w:rPr>
              <w:t>Comparação de definições</w:t>
            </w:r>
          </w:p>
        </w:tc>
        <w:tc>
          <w:tcPr>
            <w:tcW w:w="4989" w:type="dxa"/>
            <w:tcMar>
              <w:top w:w="80" w:type="dxa"/>
              <w:left w:w="80" w:type="dxa"/>
              <w:bottom w:w="80" w:type="dxa"/>
              <w:right w:w="80" w:type="dxa"/>
            </w:tcMar>
            <w:vAlign w:val="top"/>
          </w:tcPr>
          <w:p w14:paraId="23DEAF29">
            <w:pPr>
              <w:spacing w:after="0" w:line="240" w:lineRule="auto"/>
              <w:jc w:val="left"/>
            </w:pPr>
            <w:r>
              <w:rPr>
                <w:rFonts w:ascii="Times New Roman" w:hAnsi="Times New Roman" w:eastAsia="Times New Roman"/>
                <w:sz w:val="17"/>
              </w:rPr>
              <w:t>Matriz de convergências, divergências e lacunas.</w:t>
            </w:r>
          </w:p>
        </w:tc>
        <w:tc>
          <w:tcPr>
            <w:tcW w:w="1701" w:type="dxa"/>
            <w:tcMar>
              <w:top w:w="80" w:type="dxa"/>
              <w:left w:w="80" w:type="dxa"/>
              <w:bottom w:w="80" w:type="dxa"/>
              <w:right w:w="80" w:type="dxa"/>
            </w:tcMar>
            <w:vAlign w:val="top"/>
          </w:tcPr>
          <w:p>
            <w:r>
              <w:rPr>
                <w:rFonts w:ascii="Times New Roman" w:hAnsi="Times New Roman" w:eastAsia="Times New Roman"/>
                <w:sz w:val="17"/>
              </w:rPr>
              <w:t>Comparação incorporada ao protocolo e à discussão.</w:t>
            </w:r>
          </w:p>
        </w:tc>
      </w:tr>
      <w:tr w14:paraId="50EA3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cantSplit/>
        </w:trPr>
        <w:tc>
          <w:tcPr>
            <w:tcW w:w="850" w:type="dxa"/>
            <w:tcMar>
              <w:top w:w="80" w:type="dxa"/>
              <w:left w:w="80" w:type="dxa"/>
              <w:bottom w:w="80" w:type="dxa"/>
              <w:right w:w="80" w:type="dxa"/>
            </w:tcMar>
            <w:vAlign w:val="top"/>
          </w:tcPr>
          <w:p w14:paraId="739169FB">
            <w:pPr>
              <w:spacing w:after="0" w:line="240" w:lineRule="auto"/>
              <w:jc w:val="left"/>
            </w:pPr>
            <w:r>
              <w:rPr>
                <w:rFonts w:ascii="Times New Roman" w:hAnsi="Times New Roman" w:eastAsia="Times New Roman"/>
                <w:sz w:val="17"/>
              </w:rPr>
              <w:t>06</w:t>
            </w:r>
          </w:p>
        </w:tc>
        <w:tc>
          <w:tcPr>
            <w:tcW w:w="2268" w:type="dxa"/>
            <w:tcMar>
              <w:top w:w="80" w:type="dxa"/>
              <w:left w:w="80" w:type="dxa"/>
              <w:bottom w:w="80" w:type="dxa"/>
              <w:right w:w="80" w:type="dxa"/>
            </w:tcMar>
            <w:vAlign w:val="top"/>
          </w:tcPr>
          <w:p w14:paraId="6CFF4F23">
            <w:pPr>
              <w:spacing w:after="0" w:line="240" w:lineRule="auto"/>
              <w:jc w:val="left"/>
            </w:pPr>
            <w:r>
              <w:rPr>
                <w:rFonts w:ascii="Times New Roman" w:hAnsi="Times New Roman" w:eastAsia="Times New Roman"/>
                <w:sz w:val="17"/>
              </w:rPr>
              <w:t>Contextualização brasileira</w:t>
            </w:r>
          </w:p>
        </w:tc>
        <w:tc>
          <w:tcPr>
            <w:tcW w:w="4989" w:type="dxa"/>
            <w:tcMar>
              <w:top w:w="80" w:type="dxa"/>
              <w:left w:w="80" w:type="dxa"/>
              <w:bottom w:w="80" w:type="dxa"/>
              <w:right w:w="80" w:type="dxa"/>
            </w:tcMar>
            <w:vAlign w:val="top"/>
          </w:tcPr>
          <w:p w14:paraId="539715CF">
            <w:pPr>
              <w:spacing w:after="0" w:line="240" w:lineRule="auto"/>
              <w:jc w:val="left"/>
            </w:pPr>
            <w:r>
              <w:rPr>
                <w:rFonts w:ascii="Times New Roman" w:hAnsi="Times New Roman" w:eastAsia="Times New Roman"/>
                <w:sz w:val="17"/>
              </w:rPr>
              <w:t>Ajustes terminológicos e econômicos ao mercado nacional.</w:t>
            </w:r>
          </w:p>
        </w:tc>
        <w:tc>
          <w:tcPr>
            <w:tcW w:w="1701" w:type="dxa"/>
            <w:tcMar>
              <w:top w:w="80" w:type="dxa"/>
              <w:left w:w="80" w:type="dxa"/>
              <w:bottom w:w="80" w:type="dxa"/>
              <w:right w:w="80" w:type="dxa"/>
            </w:tcMar>
            <w:vAlign w:val="top"/>
          </w:tcPr>
          <w:p>
            <w:r>
              <w:rPr>
                <w:rFonts w:ascii="Times New Roman" w:hAnsi="Times New Roman" w:eastAsia="Times New Roman"/>
                <w:sz w:val="17"/>
              </w:rPr>
              <w:t>Contextualização brasileira reforçada nesta versão.</w:t>
            </w:r>
          </w:p>
        </w:tc>
      </w:tr>
      <w:tr w14:paraId="3EFC7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cantSplit/>
        </w:trPr>
        <w:tc>
          <w:tcPr>
            <w:tcW w:w="850" w:type="dxa"/>
            <w:tcMar>
              <w:top w:w="80" w:type="dxa"/>
              <w:left w:w="80" w:type="dxa"/>
              <w:bottom w:w="80" w:type="dxa"/>
              <w:right w:w="80" w:type="dxa"/>
            </w:tcMar>
            <w:vAlign w:val="top"/>
          </w:tcPr>
          <w:p w14:paraId="613171AC">
            <w:pPr>
              <w:spacing w:after="0" w:line="240" w:lineRule="auto"/>
              <w:jc w:val="left"/>
            </w:pPr>
            <w:r>
              <w:rPr>
                <w:rFonts w:ascii="Times New Roman" w:hAnsi="Times New Roman" w:eastAsia="Times New Roman"/>
                <w:sz w:val="17"/>
              </w:rPr>
              <w:t>07</w:t>
            </w:r>
          </w:p>
        </w:tc>
        <w:tc>
          <w:tcPr>
            <w:tcW w:w="2268" w:type="dxa"/>
            <w:tcMar>
              <w:top w:w="80" w:type="dxa"/>
              <w:left w:w="80" w:type="dxa"/>
              <w:bottom w:w="80" w:type="dxa"/>
              <w:right w:w="80" w:type="dxa"/>
            </w:tcMar>
            <w:vAlign w:val="top"/>
          </w:tcPr>
          <w:p w14:paraId="69BDE6BC">
            <w:pPr>
              <w:spacing w:after="0" w:line="240" w:lineRule="auto"/>
              <w:jc w:val="left"/>
            </w:pPr>
            <w:r>
              <w:rPr>
                <w:rFonts w:ascii="Times New Roman" w:hAnsi="Times New Roman" w:eastAsia="Times New Roman"/>
                <w:sz w:val="17"/>
              </w:rPr>
              <w:t>Sistematização</w:t>
            </w:r>
          </w:p>
        </w:tc>
        <w:tc>
          <w:tcPr>
            <w:tcW w:w="4989" w:type="dxa"/>
            <w:tcMar>
              <w:top w:w="80" w:type="dxa"/>
              <w:left w:w="80" w:type="dxa"/>
              <w:bottom w:w="80" w:type="dxa"/>
              <w:right w:w="80" w:type="dxa"/>
            </w:tcMar>
            <w:vAlign w:val="top"/>
          </w:tcPr>
          <w:p w14:paraId="67FB9C1C">
            <w:pPr>
              <w:spacing w:after="0" w:line="240" w:lineRule="auto"/>
              <w:jc w:val="left"/>
            </w:pPr>
            <w:r>
              <w:rPr>
                <w:rFonts w:ascii="Times New Roman" w:hAnsi="Times New Roman" w:eastAsia="Times New Roman"/>
                <w:sz w:val="17"/>
              </w:rPr>
              <w:t xml:space="preserve">Definições propostas e regras de classificação.</w:t>
            </w:r>
          </w:p>
        </w:tc>
        <w:tc>
          <w:tcPr>
            <w:tcW w:w="1701" w:type="dxa"/>
            <w:tcMar>
              <w:top w:w="80" w:type="dxa"/>
              <w:left w:w="80" w:type="dxa"/>
              <w:bottom w:w="80" w:type="dxa"/>
              <w:right w:w="80" w:type="dxa"/>
            </w:tcMar>
            <w:vAlign w:val="top"/>
          </w:tcPr>
          <w:p>
            <w:r>
              <w:rPr>
                <w:rFonts w:ascii="Times New Roman" w:hAnsi="Times New Roman" w:eastAsia="Times New Roman"/>
                <w:sz w:val="17"/>
              </w:rPr>
              <w:t>Definições propostas consolidadas no glossário; sujeitas à validação institucional.</w:t>
            </w:r>
          </w:p>
        </w:tc>
      </w:tr>
      <w:tr w14:paraId="7C695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cantSplit/>
        </w:trPr>
        <w:tc>
          <w:tcPr>
            <w:tcW w:w="850" w:type="dxa"/>
            <w:tcMar>
              <w:top w:w="80" w:type="dxa"/>
              <w:left w:w="80" w:type="dxa"/>
              <w:bottom w:w="80" w:type="dxa"/>
              <w:right w:w="80" w:type="dxa"/>
            </w:tcMar>
            <w:vAlign w:val="top"/>
          </w:tcPr>
          <w:p w14:paraId="56EF87F2">
            <w:pPr>
              <w:spacing w:after="0" w:line="240" w:lineRule="auto"/>
              <w:jc w:val="left"/>
            </w:pPr>
            <w:r>
              <w:rPr>
                <w:rFonts w:ascii="Times New Roman" w:hAnsi="Times New Roman" w:eastAsia="Times New Roman"/>
                <w:sz w:val="17"/>
              </w:rPr>
              <w:t>08</w:t>
            </w:r>
          </w:p>
        </w:tc>
        <w:tc>
          <w:tcPr>
            <w:tcW w:w="2268" w:type="dxa"/>
            <w:tcMar>
              <w:top w:w="80" w:type="dxa"/>
              <w:left w:w="80" w:type="dxa"/>
              <w:bottom w:w="80" w:type="dxa"/>
              <w:right w:w="80" w:type="dxa"/>
            </w:tcMar>
            <w:vAlign w:val="top"/>
          </w:tcPr>
          <w:p w14:paraId="20B4CD0C">
            <w:pPr>
              <w:spacing w:after="0" w:line="240" w:lineRule="auto"/>
              <w:jc w:val="left"/>
            </w:pPr>
            <w:r>
              <w:rPr>
                <w:rFonts w:ascii="Times New Roman" w:hAnsi="Times New Roman" w:eastAsia="Times New Roman"/>
                <w:sz w:val="17"/>
              </w:rPr>
              <w:t>Taxonomia multidimensional</w:t>
            </w:r>
          </w:p>
        </w:tc>
        <w:tc>
          <w:tcPr>
            <w:tcW w:w="4989" w:type="dxa"/>
            <w:tcMar>
              <w:top w:w="80" w:type="dxa"/>
              <w:left w:w="80" w:type="dxa"/>
              <w:bottom w:w="80" w:type="dxa"/>
              <w:right w:w="80" w:type="dxa"/>
            </w:tcMar>
            <w:vAlign w:val="top"/>
          </w:tcPr>
          <w:p w14:paraId="7ADA34BC">
            <w:pPr>
              <w:spacing w:after="0" w:line="240" w:lineRule="auto"/>
              <w:jc w:val="left"/>
            </w:pPr>
            <w:r>
              <w:rPr>
                <w:rFonts w:ascii="Times New Roman" w:hAnsi="Times New Roman" w:eastAsia="Times New Roman"/>
                <w:sz w:val="17"/>
              </w:rPr>
              <w:t>Modelo central, relações e visualizações.</w:t>
            </w:r>
          </w:p>
        </w:tc>
        <w:tc>
          <w:tcPr>
            <w:tcW w:w="1701" w:type="dxa"/>
            <w:tcMar>
              <w:top w:w="80" w:type="dxa"/>
              <w:left w:w="80" w:type="dxa"/>
              <w:bottom w:w="80" w:type="dxa"/>
              <w:right w:w="80" w:type="dxa"/>
            </w:tcMar>
            <w:vAlign w:val="top"/>
          </w:tcPr>
          <w:p w14:paraId="378202D6">
            <w:pPr>
              <w:spacing w:after="0" w:line="240" w:lineRule="auto"/>
              <w:jc w:val="left"/>
            </w:pPr>
            <w:r>
              <w:rPr>
                <w:rFonts w:ascii="Times New Roman" w:hAnsi="Times New Roman" w:eastAsia="Times New Roman"/>
                <w:sz w:val="17"/>
              </w:rPr>
              <w:t>Base desenvolvida neste artigo</w:t>
            </w:r>
          </w:p>
        </w:tc>
      </w:tr>
      <w:tr w14:paraId="056DC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cantSplit/>
        </w:trPr>
        <w:tc>
          <w:tcPr>
            <w:tcW w:w="850" w:type="dxa"/>
            <w:tcMar>
              <w:top w:w="80" w:type="dxa"/>
              <w:left w:w="80" w:type="dxa"/>
              <w:bottom w:w="80" w:type="dxa"/>
              <w:right w:w="80" w:type="dxa"/>
            </w:tcMar>
            <w:vAlign w:val="top"/>
          </w:tcPr>
          <w:p w14:paraId="0072E3DA">
            <w:pPr>
              <w:spacing w:after="0" w:line="240" w:lineRule="auto"/>
              <w:jc w:val="left"/>
            </w:pPr>
            <w:r>
              <w:rPr>
                <w:rFonts w:ascii="Times New Roman" w:hAnsi="Times New Roman" w:eastAsia="Times New Roman"/>
                <w:sz w:val="17"/>
              </w:rPr>
              <w:t>09</w:t>
            </w:r>
          </w:p>
        </w:tc>
        <w:tc>
          <w:tcPr>
            <w:tcW w:w="2268" w:type="dxa"/>
            <w:tcMar>
              <w:top w:w="80" w:type="dxa"/>
              <w:left w:w="80" w:type="dxa"/>
              <w:bottom w:w="80" w:type="dxa"/>
              <w:right w:w="80" w:type="dxa"/>
            </w:tcMar>
            <w:vAlign w:val="top"/>
          </w:tcPr>
          <w:p w14:paraId="7D65A65E">
            <w:pPr>
              <w:spacing w:after="0" w:line="240" w:lineRule="auto"/>
              <w:jc w:val="left"/>
            </w:pPr>
            <w:r>
              <w:rPr>
                <w:rFonts w:ascii="Times New Roman" w:hAnsi="Times New Roman" w:eastAsia="Times New Roman"/>
                <w:sz w:val="17"/>
              </w:rPr>
              <w:t>Negócios e monetização</w:t>
            </w:r>
          </w:p>
        </w:tc>
        <w:tc>
          <w:tcPr>
            <w:tcW w:w="4989" w:type="dxa"/>
            <w:tcMar>
              <w:top w:w="80" w:type="dxa"/>
              <w:left w:w="80" w:type="dxa"/>
              <w:bottom w:w="80" w:type="dxa"/>
              <w:right w:w="80" w:type="dxa"/>
            </w:tcMar>
            <w:vAlign w:val="top"/>
          </w:tcPr>
          <w:p w14:paraId="0DC0B958">
            <w:pPr>
              <w:spacing w:after="0" w:line="240" w:lineRule="auto"/>
              <w:jc w:val="left"/>
            </w:pPr>
            <w:r>
              <w:rPr>
                <w:rFonts w:ascii="Times New Roman" w:hAnsi="Times New Roman" w:eastAsia="Times New Roman"/>
                <w:sz w:val="17"/>
              </w:rPr>
              <w:t>Fontes de receita, ativos e modelos de negócio.</w:t>
            </w:r>
          </w:p>
        </w:tc>
        <w:tc>
          <w:tcPr>
            <w:tcW w:w="1701" w:type="dxa"/>
            <w:tcMar>
              <w:top w:w="80" w:type="dxa"/>
              <w:left w:w="80" w:type="dxa"/>
              <w:bottom w:w="80" w:type="dxa"/>
              <w:right w:w="80" w:type="dxa"/>
            </w:tcMar>
            <w:vAlign w:val="top"/>
          </w:tcPr>
          <w:p w14:paraId="66E2247C">
            <w:pPr>
              <w:spacing w:after="0" w:line="240" w:lineRule="auto"/>
              <w:jc w:val="left"/>
            </w:pPr>
            <w:r>
              <w:rPr>
                <w:rFonts w:ascii="Times New Roman" w:hAnsi="Times New Roman" w:eastAsia="Times New Roman"/>
                <w:sz w:val="17"/>
              </w:rPr>
              <w:t>Base desenvolvida neste artigo</w:t>
            </w:r>
          </w:p>
        </w:tc>
      </w:tr>
      <w:tr w14:paraId="34A20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cantSplit/>
        </w:trPr>
        <w:tc>
          <w:tcPr>
            <w:tcW w:w="850" w:type="dxa"/>
            <w:tcMar>
              <w:top w:w="80" w:type="dxa"/>
              <w:left w:w="80" w:type="dxa"/>
              <w:bottom w:w="80" w:type="dxa"/>
              <w:right w:w="80" w:type="dxa"/>
            </w:tcMar>
            <w:vAlign w:val="top"/>
          </w:tcPr>
          <w:p w14:paraId="52D7F7C0">
            <w:pPr>
              <w:spacing w:after="0" w:line="240" w:lineRule="auto"/>
              <w:jc w:val="left"/>
            </w:pPr>
            <w:r>
              <w:rPr>
                <w:rFonts w:ascii="Times New Roman" w:hAnsi="Times New Roman" w:eastAsia="Times New Roman"/>
                <w:sz w:val="17"/>
              </w:rPr>
              <w:t>10</w:t>
            </w:r>
          </w:p>
        </w:tc>
        <w:tc>
          <w:tcPr>
            <w:tcW w:w="2268" w:type="dxa"/>
            <w:tcMar>
              <w:top w:w="80" w:type="dxa"/>
              <w:left w:w="80" w:type="dxa"/>
              <w:bottom w:w="80" w:type="dxa"/>
              <w:right w:w="80" w:type="dxa"/>
            </w:tcMar>
            <w:vAlign w:val="top"/>
          </w:tcPr>
          <w:p w14:paraId="5F8B1DCE">
            <w:pPr>
              <w:spacing w:after="0" w:line="240" w:lineRule="auto"/>
              <w:jc w:val="left"/>
            </w:pPr>
            <w:r>
              <w:rPr>
                <w:rFonts w:ascii="Times New Roman" w:hAnsi="Times New Roman" w:eastAsia="Times New Roman"/>
                <w:sz w:val="17"/>
              </w:rPr>
              <w:t>Publicidade e relações comerciais</w:t>
            </w:r>
          </w:p>
        </w:tc>
        <w:tc>
          <w:tcPr>
            <w:tcW w:w="4989" w:type="dxa"/>
            <w:tcMar>
              <w:top w:w="80" w:type="dxa"/>
              <w:left w:w="80" w:type="dxa"/>
              <w:bottom w:w="80" w:type="dxa"/>
              <w:right w:w="80" w:type="dxa"/>
            </w:tcMar>
            <w:vAlign w:val="top"/>
          </w:tcPr>
          <w:p w14:paraId="3ACA736B">
            <w:pPr>
              <w:spacing w:after="0" w:line="240" w:lineRule="auto"/>
              <w:jc w:val="left"/>
            </w:pPr>
            <w:r>
              <w:rPr>
                <w:rFonts w:ascii="Times New Roman" w:hAnsi="Times New Roman" w:eastAsia="Times New Roman"/>
                <w:sz w:val="17"/>
              </w:rPr>
              <w:t>Publicidade, UGC, afiliação, patrocínio, embaixadoria e transparência.</w:t>
            </w:r>
          </w:p>
        </w:tc>
        <w:tc>
          <w:tcPr>
            <w:tcW w:w="1701" w:type="dxa"/>
            <w:tcMar>
              <w:top w:w="80" w:type="dxa"/>
              <w:left w:w="80" w:type="dxa"/>
              <w:bottom w:w="80" w:type="dxa"/>
              <w:right w:w="80" w:type="dxa"/>
            </w:tcMar>
            <w:vAlign w:val="top"/>
          </w:tcPr>
          <w:p w14:paraId="4A631A07">
            <w:pPr>
              <w:spacing w:after="0" w:line="240" w:lineRule="auto"/>
              <w:jc w:val="left"/>
            </w:pPr>
            <w:r>
              <w:rPr>
                <w:rFonts w:ascii="Times New Roman" w:hAnsi="Times New Roman" w:eastAsia="Times New Roman"/>
                <w:sz w:val="17"/>
              </w:rPr>
              <w:t>Base desenvolvida neste artigo</w:t>
            </w:r>
          </w:p>
        </w:tc>
      </w:tr>
      <w:tr w14:paraId="2CFD3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cantSplit/>
        </w:trPr>
        <w:tc>
          <w:tcPr>
            <w:tcW w:w="850" w:type="dxa"/>
            <w:tcMar>
              <w:top w:w="80" w:type="dxa"/>
              <w:left w:w="80" w:type="dxa"/>
              <w:bottom w:w="80" w:type="dxa"/>
              <w:right w:w="80" w:type="dxa"/>
            </w:tcMar>
            <w:vAlign w:val="top"/>
          </w:tcPr>
          <w:p w14:paraId="3ABBA17B">
            <w:pPr>
              <w:spacing w:after="0" w:line="240" w:lineRule="auto"/>
              <w:jc w:val="left"/>
            </w:pPr>
            <w:r>
              <w:rPr>
                <w:rFonts w:ascii="Times New Roman" w:hAnsi="Times New Roman" w:eastAsia="Times New Roman"/>
                <w:sz w:val="17"/>
              </w:rPr>
              <w:t>11</w:t>
            </w:r>
          </w:p>
        </w:tc>
        <w:tc>
          <w:tcPr>
            <w:tcW w:w="2268" w:type="dxa"/>
            <w:tcMar>
              <w:top w:w="80" w:type="dxa"/>
              <w:left w:w="80" w:type="dxa"/>
              <w:bottom w:w="80" w:type="dxa"/>
              <w:right w:w="80" w:type="dxa"/>
            </w:tcMar>
            <w:vAlign w:val="top"/>
          </w:tcPr>
          <w:p w14:paraId="0BC70E3F">
            <w:pPr>
              <w:spacing w:after="0" w:line="240" w:lineRule="auto"/>
              <w:jc w:val="left"/>
            </w:pPr>
            <w:r>
              <w:rPr>
                <w:rFonts w:ascii="Times New Roman" w:hAnsi="Times New Roman" w:eastAsia="Times New Roman"/>
                <w:sz w:val="17"/>
              </w:rPr>
              <w:t>Tecnologia, dados e IA</w:t>
            </w:r>
          </w:p>
        </w:tc>
        <w:tc>
          <w:tcPr>
            <w:tcW w:w="4989" w:type="dxa"/>
            <w:tcMar>
              <w:top w:w="80" w:type="dxa"/>
              <w:left w:w="80" w:type="dxa"/>
              <w:bottom w:w="80" w:type="dxa"/>
              <w:right w:w="80" w:type="dxa"/>
            </w:tcMar>
            <w:vAlign w:val="top"/>
          </w:tcPr>
          <w:p w14:paraId="63113BE5">
            <w:pPr>
              <w:spacing w:after="0" w:line="240" w:lineRule="auto"/>
              <w:jc w:val="left"/>
            </w:pPr>
            <w:r>
              <w:rPr>
                <w:rFonts w:ascii="Times New Roman" w:hAnsi="Times New Roman" w:eastAsia="Times New Roman"/>
                <w:sz w:val="17"/>
              </w:rPr>
              <w:t>IA, conteúdo sintético, mensuração e infraestrutura.</w:t>
            </w:r>
          </w:p>
        </w:tc>
        <w:tc>
          <w:tcPr>
            <w:tcW w:w="1701" w:type="dxa"/>
            <w:tcMar>
              <w:top w:w="80" w:type="dxa"/>
              <w:left w:w="80" w:type="dxa"/>
              <w:bottom w:w="80" w:type="dxa"/>
              <w:right w:w="80" w:type="dxa"/>
            </w:tcMar>
            <w:vAlign w:val="top"/>
          </w:tcPr>
          <w:p w14:paraId="3721964E">
            <w:pPr>
              <w:spacing w:after="0" w:line="240" w:lineRule="auto"/>
              <w:jc w:val="left"/>
            </w:pPr>
            <w:r>
              <w:rPr>
                <w:rFonts w:ascii="Times New Roman" w:hAnsi="Times New Roman" w:eastAsia="Times New Roman"/>
                <w:sz w:val="17"/>
              </w:rPr>
              <w:t>Base desenvolvida neste artigo</w:t>
            </w:r>
          </w:p>
        </w:tc>
      </w:tr>
      <w:tr w14:paraId="2FB21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cantSplit/>
        </w:trPr>
        <w:tc>
          <w:tcPr>
            <w:tcW w:w="850" w:type="dxa"/>
            <w:tcMar>
              <w:top w:w="80" w:type="dxa"/>
              <w:left w:w="80" w:type="dxa"/>
              <w:bottom w:w="80" w:type="dxa"/>
              <w:right w:w="80" w:type="dxa"/>
            </w:tcMar>
            <w:vAlign w:val="top"/>
          </w:tcPr>
          <w:p w14:paraId="3B1091CD">
            <w:pPr>
              <w:spacing w:after="0" w:line="240" w:lineRule="auto"/>
              <w:jc w:val="left"/>
            </w:pPr>
            <w:r>
              <w:rPr>
                <w:rFonts w:ascii="Times New Roman" w:hAnsi="Times New Roman" w:eastAsia="Times New Roman"/>
                <w:sz w:val="17"/>
              </w:rPr>
              <w:t>12</w:t>
            </w:r>
          </w:p>
        </w:tc>
        <w:tc>
          <w:tcPr>
            <w:tcW w:w="2268" w:type="dxa"/>
            <w:tcMar>
              <w:top w:w="80" w:type="dxa"/>
              <w:left w:w="80" w:type="dxa"/>
              <w:bottom w:w="80" w:type="dxa"/>
              <w:right w:w="80" w:type="dxa"/>
            </w:tcMar>
            <w:vAlign w:val="top"/>
          </w:tcPr>
          <w:p w14:paraId="093621A4">
            <w:pPr>
              <w:spacing w:after="0" w:line="240" w:lineRule="auto"/>
              <w:jc w:val="left"/>
            </w:pPr>
            <w:r>
              <w:rPr>
                <w:rFonts w:ascii="Times New Roman" w:hAnsi="Times New Roman" w:eastAsia="Times New Roman"/>
                <w:sz w:val="17"/>
              </w:rPr>
              <w:t>Crianças e adolescentes</w:t>
            </w:r>
          </w:p>
        </w:tc>
        <w:tc>
          <w:tcPr>
            <w:tcW w:w="4989" w:type="dxa"/>
            <w:tcMar>
              <w:top w:w="80" w:type="dxa"/>
              <w:left w:w="80" w:type="dxa"/>
              <w:bottom w:w="80" w:type="dxa"/>
              <w:right w:w="80" w:type="dxa"/>
            </w:tcMar>
            <w:vAlign w:val="top"/>
          </w:tcPr>
          <w:p w14:paraId="6FB6CC85">
            <w:pPr>
              <w:spacing w:after="0" w:line="240" w:lineRule="auto"/>
              <w:jc w:val="left"/>
            </w:pPr>
            <w:r>
              <w:rPr>
                <w:rFonts w:ascii="Times New Roman" w:hAnsi="Times New Roman" w:eastAsia="Times New Roman"/>
                <w:sz w:val="17"/>
              </w:rPr>
              <w:t>Participação, proteção, publicidade e governança.</w:t>
            </w:r>
          </w:p>
        </w:tc>
        <w:tc>
          <w:tcPr>
            <w:tcW w:w="1701" w:type="dxa"/>
            <w:tcMar>
              <w:top w:w="80" w:type="dxa"/>
              <w:left w:w="80" w:type="dxa"/>
              <w:bottom w:w="80" w:type="dxa"/>
              <w:right w:w="80" w:type="dxa"/>
            </w:tcMar>
            <w:vAlign w:val="top"/>
          </w:tcPr>
          <w:p>
            <w:r>
              <w:rPr>
                <w:rFonts w:ascii="Times New Roman" w:hAnsi="Times New Roman" w:eastAsia="Times New Roman"/>
                <w:sz w:val="17"/>
              </w:rPr>
              <w:t>Escopo e salvaguardas delimitados nesta versão.</w:t>
            </w:r>
          </w:p>
        </w:tc>
      </w:tr>
      <w:tr w14:paraId="27216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cantSplit/>
        </w:trPr>
        <w:tc>
          <w:tcPr>
            <w:tcW w:w="850" w:type="dxa"/>
            <w:tcMar>
              <w:top w:w="80" w:type="dxa"/>
              <w:left w:w="80" w:type="dxa"/>
              <w:bottom w:w="80" w:type="dxa"/>
              <w:right w:w="80" w:type="dxa"/>
            </w:tcMar>
            <w:vAlign w:val="top"/>
          </w:tcPr>
          <w:p w14:paraId="25E66C5F">
            <w:pPr>
              <w:spacing w:after="0" w:line="240" w:lineRule="auto"/>
              <w:jc w:val="left"/>
            </w:pPr>
            <w:r>
              <w:rPr>
                <w:rFonts w:ascii="Times New Roman" w:hAnsi="Times New Roman" w:eastAsia="Times New Roman"/>
                <w:sz w:val="17"/>
              </w:rPr>
              <w:t>13</w:t>
            </w:r>
          </w:p>
        </w:tc>
        <w:tc>
          <w:tcPr>
            <w:tcW w:w="2268" w:type="dxa"/>
            <w:tcMar>
              <w:top w:w="80" w:type="dxa"/>
              <w:left w:w="80" w:type="dxa"/>
              <w:bottom w:w="80" w:type="dxa"/>
              <w:right w:w="80" w:type="dxa"/>
            </w:tcMar>
            <w:vAlign w:val="top"/>
          </w:tcPr>
          <w:p w14:paraId="62477206">
            <w:pPr>
              <w:spacing w:after="0" w:line="240" w:lineRule="auto"/>
              <w:jc w:val="left"/>
            </w:pPr>
            <w:r>
              <w:rPr>
                <w:rFonts w:ascii="Times New Roman" w:hAnsi="Times New Roman" w:eastAsia="Times New Roman"/>
                <w:sz w:val="17"/>
              </w:rPr>
              <w:t>Glossário</w:t>
            </w:r>
          </w:p>
        </w:tc>
        <w:tc>
          <w:tcPr>
            <w:tcW w:w="4989" w:type="dxa"/>
            <w:tcMar>
              <w:top w:w="80" w:type="dxa"/>
              <w:left w:w="80" w:type="dxa"/>
              <w:bottom w:w="80" w:type="dxa"/>
              <w:right w:w="80" w:type="dxa"/>
            </w:tcMar>
            <w:vAlign w:val="top"/>
          </w:tcPr>
          <w:p w14:paraId="71FB49A0">
            <w:pPr>
              <w:spacing w:after="0" w:line="240" w:lineRule="auto"/>
              <w:jc w:val="left"/>
            </w:pPr>
            <w:r>
              <w:rPr>
                <w:rFonts w:ascii="Times New Roman" w:hAnsi="Times New Roman" w:eastAsia="Times New Roman"/>
                <w:sz w:val="17"/>
              </w:rPr>
              <w:t>Definições finais e "não confundir com".</w:t>
            </w:r>
          </w:p>
        </w:tc>
        <w:tc>
          <w:tcPr>
            <w:tcW w:w="1701" w:type="dxa"/>
            <w:tcMar>
              <w:top w:w="80" w:type="dxa"/>
              <w:left w:w="80" w:type="dxa"/>
              <w:bottom w:w="80" w:type="dxa"/>
              <w:right w:w="80" w:type="dxa"/>
            </w:tcMar>
            <w:vAlign w:val="top"/>
          </w:tcPr>
          <w:p>
            <w:r>
              <w:rPr>
                <w:rFonts w:ascii="Times New Roman" w:hAnsi="Times New Roman" w:eastAsia="Times New Roman"/>
                <w:sz w:val="17"/>
              </w:rPr>
              <w:t>Glossário ampliado e consolidado nesta versão.</w:t>
            </w:r>
          </w:p>
        </w:tc>
      </w:tr>
      <w:tr w14:paraId="4F2DA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cantSplit/>
        </w:trPr>
        <w:tc>
          <w:tcPr>
            <w:tcW w:w="850" w:type="dxa"/>
            <w:tcMar>
              <w:top w:w="80" w:type="dxa"/>
              <w:left w:w="80" w:type="dxa"/>
              <w:bottom w:w="80" w:type="dxa"/>
              <w:right w:w="80" w:type="dxa"/>
            </w:tcMar>
            <w:vAlign w:val="top"/>
          </w:tcPr>
          <w:p w14:paraId="6B1913D7">
            <w:pPr>
              <w:spacing w:after="0" w:line="240" w:lineRule="auto"/>
              <w:jc w:val="left"/>
            </w:pPr>
            <w:r>
              <w:rPr>
                <w:rFonts w:ascii="Times New Roman" w:hAnsi="Times New Roman" w:eastAsia="Times New Roman"/>
                <w:sz w:val="17"/>
              </w:rPr>
              <w:t>14</w:t>
            </w:r>
          </w:p>
        </w:tc>
        <w:tc>
          <w:tcPr>
            <w:tcW w:w="2268" w:type="dxa"/>
            <w:tcMar>
              <w:top w:w="80" w:type="dxa"/>
              <w:left w:w="80" w:type="dxa"/>
              <w:bottom w:w="80" w:type="dxa"/>
              <w:right w:w="80" w:type="dxa"/>
            </w:tcMar>
            <w:vAlign w:val="top"/>
          </w:tcPr>
          <w:p w14:paraId="7ADFB7A3">
            <w:pPr>
              <w:spacing w:after="0" w:line="240" w:lineRule="auto"/>
              <w:jc w:val="left"/>
            </w:pPr>
            <w:r>
              <w:rPr>
                <w:rFonts w:ascii="Times New Roman" w:hAnsi="Times New Roman" w:eastAsia="Times New Roman"/>
                <w:sz w:val="17"/>
              </w:rPr>
              <w:t>Arquitetura da informação</w:t>
            </w:r>
          </w:p>
        </w:tc>
        <w:tc>
          <w:tcPr>
            <w:tcW w:w="4989" w:type="dxa"/>
            <w:tcMar>
              <w:top w:w="80" w:type="dxa"/>
              <w:left w:w="80" w:type="dxa"/>
              <w:bottom w:w="80" w:type="dxa"/>
              <w:right w:w="80" w:type="dxa"/>
            </w:tcMar>
            <w:vAlign w:val="top"/>
          </w:tcPr>
          <w:p w14:paraId="41D1532B">
            <w:pPr>
              <w:spacing w:after="0" w:line="240" w:lineRule="auto"/>
              <w:jc w:val="left"/>
            </w:pPr>
            <w:r>
              <w:rPr>
                <w:rFonts w:ascii="Times New Roman" w:hAnsi="Times New Roman" w:eastAsia="Times New Roman"/>
                <w:sz w:val="17"/>
              </w:rPr>
              <w:t>Conversão da pesquisa em mapas, cards, tabelas e fluxos.</w:t>
            </w:r>
          </w:p>
        </w:tc>
        <w:tc>
          <w:tcPr>
            <w:tcW w:w="1701" w:type="dxa"/>
            <w:tcMar>
              <w:top w:w="80" w:type="dxa"/>
              <w:left w:w="80" w:type="dxa"/>
              <w:bottom w:w="80" w:type="dxa"/>
              <w:right w:w="80" w:type="dxa"/>
            </w:tcMar>
            <w:vAlign w:val="top"/>
          </w:tcPr>
          <w:p>
            <w:r>
              <w:rPr>
                <w:rFonts w:ascii="Times New Roman" w:hAnsi="Times New Roman" w:eastAsia="Times New Roman"/>
                <w:sz w:val="17"/>
              </w:rPr>
              <w:t>Arquitetura editorial sintetizada no Apêndice B e no roteiro do Guia.</w:t>
            </w:r>
          </w:p>
        </w:tc>
      </w:tr>
      <w:tr w14:paraId="6420D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cantSplit/>
        </w:trPr>
        <w:tc>
          <w:tcPr>
            <w:tcW w:w="850" w:type="dxa"/>
            <w:tcMar>
              <w:top w:w="80" w:type="dxa"/>
              <w:left w:w="80" w:type="dxa"/>
              <w:bottom w:w="80" w:type="dxa"/>
              <w:right w:w="80" w:type="dxa"/>
            </w:tcMar>
            <w:vAlign w:val="top"/>
          </w:tcPr>
          <w:p w14:paraId="2ADA6B4C">
            <w:pPr>
              <w:spacing w:after="0" w:line="240" w:lineRule="auto"/>
              <w:jc w:val="left"/>
            </w:pPr>
            <w:r>
              <w:rPr>
                <w:rFonts w:ascii="Times New Roman" w:hAnsi="Times New Roman" w:eastAsia="Times New Roman"/>
                <w:sz w:val="17"/>
              </w:rPr>
              <w:t>15</w:t>
            </w:r>
          </w:p>
        </w:tc>
        <w:tc>
          <w:tcPr>
            <w:tcW w:w="2268" w:type="dxa"/>
            <w:tcMar>
              <w:top w:w="80" w:type="dxa"/>
              <w:left w:w="80" w:type="dxa"/>
              <w:bottom w:w="80" w:type="dxa"/>
              <w:right w:w="80" w:type="dxa"/>
            </w:tcMar>
            <w:vAlign w:val="top"/>
          </w:tcPr>
          <w:p w14:paraId="7F8A9AA7">
            <w:pPr>
              <w:spacing w:after="0" w:line="240" w:lineRule="auto"/>
              <w:jc w:val="left"/>
            </w:pPr>
            <w:r>
              <w:rPr>
                <w:rFonts w:ascii="Times New Roman" w:hAnsi="Times New Roman" w:eastAsia="Times New Roman"/>
                <w:sz w:val="17"/>
              </w:rPr>
              <w:t>Redação e normalização</w:t>
            </w:r>
          </w:p>
        </w:tc>
        <w:tc>
          <w:tcPr>
            <w:tcW w:w="4989" w:type="dxa"/>
            <w:tcMar>
              <w:top w:w="80" w:type="dxa"/>
              <w:left w:w="80" w:type="dxa"/>
              <w:bottom w:w="80" w:type="dxa"/>
              <w:right w:w="80" w:type="dxa"/>
            </w:tcMar>
            <w:vAlign w:val="top"/>
          </w:tcPr>
          <w:p w14:paraId="30D7A60C">
            <w:pPr>
              <w:spacing w:after="0" w:line="240" w:lineRule="auto"/>
              <w:jc w:val="left"/>
            </w:pPr>
            <w:r>
              <w:rPr>
                <w:rFonts w:ascii="Times New Roman" w:hAnsi="Times New Roman" w:eastAsia="Times New Roman"/>
                <w:sz w:val="17"/>
              </w:rPr>
              <w:t>Texto definitivo, revisão ABNT e adequação editorial.</w:t>
            </w:r>
          </w:p>
        </w:tc>
        <w:tc>
          <w:tcPr>
            <w:tcW w:w="1701" w:type="dxa"/>
            <w:tcMar>
              <w:top w:w="80" w:type="dxa"/>
              <w:left w:w="80" w:type="dxa"/>
              <w:bottom w:w="80" w:type="dxa"/>
              <w:right w:w="80" w:type="dxa"/>
            </w:tcMar>
            <w:vAlign w:val="top"/>
          </w:tcPr>
          <w:p>
            <w:r>
              <w:rPr>
                <w:rFonts w:ascii="Times New Roman" w:hAnsi="Times New Roman" w:eastAsia="Times New Roman"/>
                <w:sz w:val="17"/>
              </w:rPr>
              <w:t>Revisão técnico-científica e normalização concluídas nesta versão v1.0.</w:t>
            </w:r>
          </w:p>
        </w:tc>
      </w:tr>
      <w:tr w14:paraId="0B37A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cantSplit/>
        </w:trPr>
        <w:tc>
          <w:tcPr>
            <w:tcW w:w="850" w:type="dxa"/>
            <w:tcMar>
              <w:top w:w="80" w:type="dxa"/>
              <w:left w:w="80" w:type="dxa"/>
              <w:bottom w:w="80" w:type="dxa"/>
              <w:right w:w="80" w:type="dxa"/>
            </w:tcMar>
            <w:vAlign w:val="top"/>
          </w:tcPr>
          <w:p w14:paraId="42B191BB">
            <w:pPr>
              <w:spacing w:after="0" w:line="240" w:lineRule="auto"/>
              <w:jc w:val="left"/>
              <w:keepNext w:val="1"/>
            </w:pPr>
            <w:r>
              <w:rPr>
                <w:rFonts w:ascii="Times New Roman" w:hAnsi="Times New Roman" w:eastAsia="Times New Roman"/>
                <w:sz w:val="17"/>
              </w:rPr>
              <w:t>16</w:t>
            </w:r>
          </w:p>
        </w:tc>
        <w:tc>
          <w:tcPr>
            <w:tcW w:w="2268" w:type="dxa"/>
            <w:tcMar>
              <w:top w:w="80" w:type="dxa"/>
              <w:left w:w="80" w:type="dxa"/>
              <w:bottom w:w="80" w:type="dxa"/>
              <w:right w:w="80" w:type="dxa"/>
            </w:tcMar>
            <w:vAlign w:val="top"/>
          </w:tcPr>
          <w:p w14:paraId="183CF451">
            <w:pPr>
              <w:spacing w:after="0" w:line="240" w:lineRule="auto"/>
              <w:jc w:val="left"/>
              <w:keepNext w:val="1"/>
            </w:pPr>
            <w:r>
              <w:rPr>
                <w:rFonts w:ascii="Times New Roman" w:hAnsi="Times New Roman" w:eastAsia="Times New Roman"/>
                <w:sz w:val="17"/>
              </w:rPr>
              <w:t>QA e fechamento</w:t>
            </w:r>
          </w:p>
        </w:tc>
        <w:tc>
          <w:tcPr>
            <w:tcW w:w="4989" w:type="dxa"/>
            <w:tcMar>
              <w:top w:w="80" w:type="dxa"/>
              <w:left w:w="80" w:type="dxa"/>
              <w:bottom w:w="80" w:type="dxa"/>
              <w:right w:w="80" w:type="dxa"/>
            </w:tcMar>
            <w:vAlign w:val="top"/>
          </w:tcPr>
          <w:p w14:paraId="4EDBC9A8">
            <w:pPr>
              <w:spacing w:after="0" w:line="240" w:lineRule="auto"/>
              <w:jc w:val="left"/>
              <w:keepNext w:val="1"/>
            </w:pPr>
            <w:r>
              <w:rPr>
                <w:rFonts w:ascii="Times New Roman" w:hAnsi="Times New Roman" w:eastAsia="Times New Roman"/>
                <w:sz w:val="17"/>
              </w:rPr>
              <w:t>Auditoria de fontes, consistência, versões e pacote final.</w:t>
            </w:r>
          </w:p>
        </w:tc>
        <w:tc>
          <w:tcPr>
            <w:tcW w:w="1701" w:type="dxa"/>
            <w:tcMar>
              <w:top w:w="80" w:type="dxa"/>
              <w:left w:w="80" w:type="dxa"/>
              <w:bottom w:w="80" w:type="dxa"/>
              <w:right w:w="80" w:type="dxa"/>
            </w:tcMar>
            <w:vAlign w:val="top"/>
          </w:tcPr>
          <w:p>
            <w:pPr>
              <w:keepNext w:val="1"/>
            </w:pPr>
            <w:r>
              <w:rPr>
                <w:rFonts w:ascii="Times New Roman" w:hAnsi="Times New Roman" w:eastAsia="Times New Roman"/>
                <w:sz w:val="17"/>
              </w:rPr>
              <w:t>Auditoria de consistência, fontes e versionamento concluída nesta versão v1.0.</w:t>
            </w:r>
          </w:p>
        </w:tc>
      </w:tr>
    </w:tbl>
    <w:p w14:paraId="138E86DA">
      <w:pPr>
        <w:spacing w:after="0"/>
        <w:keepNext w:val="1"/>
      </w:pPr>
    </w:p>
    <w:p w14:paraId="73D26124">
      <w:pPr>
        <w:keepNext/>
        <w:spacing w:after="60" w:before="60"/>
        <w:jc w:val="center"/>
      </w:pPr>
      <w:r>
        <w:rPr>
          <w:rFonts w:ascii="Times New Roman" w:hAnsi="Times New Roman"/>
          <w:i/>
          <w:sz w:val="20"/>
        </w:rPr>
        <w:t>Quadro A1 - Matriz dos 16 Cadernos. Fonte: elaboração própria.</w:t>
      </w:r>
    </w:p>
    <w:p w14:paraId="6E9985C6">
      <w:pPr>
        <w:pStyle w:val="2"/>
        <w:keepNext/>
        <w:keepLines/>
        <w:spacing w:before="240" w:after="120"/>
        <w:jc w:val="left"/>
      </w:pPr>
      <w:r>
        <w:rPr>
          <w:rFonts w:ascii="Times New Roman" w:hAnsi="Times New Roman"/>
          <w:b/>
          <w:sz w:val="24"/>
        </w:rPr>
        <w:t xml:space="preserve">APÊNDICE B - PROPOSTA DE DIVULGAÇÃO DA PESQUISA</w:t>
      </w:r>
    </w:p>
    <w:p w14:paraId="3FFA9207">
      <w:pPr>
        <w:keepNext w:val="0"/>
        <w:spacing w:before="0" w:after="0" w:line="360" w:lineRule="auto"/>
        <w:ind w:firstLine="709"/>
        <w:jc w:val="both"/>
      </w:pPr>
      <w:r>
        <w:rPr>
          <w:rFonts w:ascii="Times New Roman" w:hAnsi="Times New Roman"/>
          <w:sz w:val="24"/>
        </w:rPr>
        <w:t xml:space="preserve">A divulgação da pesquisa combina contextualização, síntese dos resultados e acesso ao estudo completo. A página Trama Digital apresenta exemplos e um mapa de leitura, com acesso ao artigo para aprofundamento conceitual e metodológico.</w:t>
      </w:r>
    </w:p>
    <w:p w14:paraId="2EB9DB92">
      <w:pPr>
        <w:pStyle w:val="3"/>
        <w:keepNext/>
        <w:keepLines/>
        <w:spacing w:before="160" w:after="120"/>
        <w:jc w:val="left"/>
      </w:pPr>
      <w:r>
        <w:rPr>
          <w:rFonts w:ascii="Times New Roman" w:hAnsi="Times New Roman"/>
          <w:b/>
          <w:sz w:val="24"/>
        </w:rPr>
        <w:t>B.1 Título editorial recomendado</w:t>
      </w:r>
    </w:p>
    <w:p w14:paraId="6FDA9E7B">
      <w:pPr>
        <w:keepNext w:val="0"/>
        <w:spacing w:before="0" w:after="0" w:line="360" w:lineRule="auto"/>
        <w:jc w:val="left"/>
      </w:pPr>
      <w:r>
        <w:rPr>
          <w:rFonts w:ascii="Times New Roman" w:hAnsi="Times New Roman"/>
          <w:sz w:val="24"/>
        </w:rPr>
        <w:t xml:space="preserve">TRAMA DIGITAL E A ORGANIZAÇÃO DA CRIAÇÃO DE CONTEÚDO NO BRASIL</w:t>
      </w:r>
    </w:p>
    <w:p w14:paraId="6689ADD0">
      <w:pPr>
        <w:pStyle w:val="3"/>
        <w:keepNext/>
        <w:keepLines/>
        <w:spacing w:before="160" w:after="120"/>
        <w:jc w:val="left"/>
      </w:pPr>
      <w:r>
        <w:rPr>
          <w:rFonts w:ascii="Times New Roman" w:hAnsi="Times New Roman"/>
          <w:b/>
          <w:sz w:val="24"/>
        </w:rPr>
        <w:t>B.2 Linha fina</w:t>
      </w:r>
    </w:p>
    <w:p w14:paraId="6F65A4E1">
      <w:pPr>
        <w:keepNext w:val="0"/>
        <w:spacing w:before="0" w:after="0" w:line="360" w:lineRule="auto"/>
        <w:jc w:val="both"/>
      </w:pPr>
      <w:r>
        <w:rPr>
          <w:rFonts w:ascii="Times New Roman" w:hAnsi="Times New Roman"/>
          <w:sz w:val="24"/>
        </w:rPr>
        <w:t>Pesquisa sistematiza agentes, funções, formatos, relações comerciais, modelos de monetização e intermediários para oferecer uma linguagem comum ao ecossistema brasileiro de creators.</w:t>
      </w:r>
    </w:p>
    <w:p w14:paraId="01978D02">
      <w:pPr>
        <w:pStyle w:val="3"/>
        <w:keepNext/>
        <w:keepLines/>
        <w:spacing w:before="160" w:after="120"/>
        <w:jc w:val="left"/>
      </w:pPr>
      <w:r>
        <w:rPr>
          <w:rFonts w:ascii="Times New Roman" w:hAnsi="Times New Roman"/>
          <w:b/>
          <w:sz w:val="24"/>
        </w:rPr>
        <w:t>B.3 Texto-base para a página</w:t>
      </w:r>
    </w:p>
    <w:p w14:paraId="52742AC2">
      <w:pPr>
        <w:keepNext w:val="0"/>
        <w:spacing w:before="0" w:after="0" w:line="360" w:lineRule="auto"/>
        <w:ind w:firstLine="709"/>
        <w:jc w:val="both"/>
      </w:pPr>
      <w:r>
        <w:rPr>
          <w:rFonts w:ascii="Times New Roman" w:hAnsi="Times New Roman"/>
          <w:sz w:val="24"/>
        </w:rPr>
        <w:t xml:space="preserve">A autora apresenta um estudo dedicado à organização conceitual da economia da criação de conteúdo no Brasil. A pesquisa parte de um problema recorrente em um mercado em rápida transformação: termos como creator, influencer, UGC creator, streamer, afiliado, KOL e embaixador de marca são frequentemente utilizados como se fossem equivalentes, apesar de descreverem dimensões distintas da atividade econômica e comunicacional.</w:t>
      </w:r>
    </w:p>
    <w:p w14:paraId="296C3AD2">
      <w:pPr>
        <w:keepNext w:val="0"/>
        <w:spacing w:before="0" w:after="0" w:line="360" w:lineRule="auto"/>
        <w:ind w:firstLine="709"/>
        <w:jc w:val="both"/>
      </w:pPr>
      <w:r>
        <w:rPr>
          <w:rFonts w:ascii="Times New Roman" w:hAnsi="Times New Roman"/>
          <w:sz w:val="24"/>
        </w:rPr>
        <w:t>Com base em pesquisa bibliográfica, documental e analítico-comparativa, o trabalho reúne referências setoriais brasileiras e internacionais, estudos acadêmicos, documentos de autorregulação e materiais sobre plataformas, publicidade, influência, trabalho digital, monetização e inteligência artificial.</w:t>
      </w:r>
    </w:p>
    <w:p w14:paraId="1E09A7F7">
      <w:pPr>
        <w:keepNext w:val="0"/>
        <w:spacing w:before="0" w:after="0" w:line="360" w:lineRule="auto"/>
        <w:ind w:firstLine="709"/>
        <w:jc w:val="both"/>
      </w:pPr>
      <w:r>
        <w:rPr>
          <w:rFonts w:ascii="Times New Roman" w:hAnsi="Times New Roman"/>
          <w:sz w:val="24"/>
        </w:rPr>
        <w:t xml:space="preserve">O principal resultado é a proposta de uma Taxonomia Brasileira Multidimensional da economia da criação de conteúdo, organizada em seis dimensões: agente; formato e canal; função; relação econômica; negócio e monetização; intermediação e infraestrutura. O modelo permite reconhecer que uma mesma pessoa pode atuar simultaneamente como creator, influencer, streamer, afiliada e empreendedora, sem que essas categorias sejam necessariamente excludentes.</w:t>
      </w:r>
    </w:p>
    <w:p w14:paraId="6626D3F2">
      <w:pPr>
        <w:keepNext w:val="0"/>
        <w:spacing w:before="0" w:after="0" w:line="360" w:lineRule="auto"/>
        <w:ind w:firstLine="709"/>
        <w:jc w:val="both"/>
      </w:pPr>
      <w:r>
        <w:rPr>
          <w:rFonts w:ascii="Times New Roman" w:hAnsi="Times New Roman"/>
          <w:sz w:val="24"/>
        </w:rPr>
        <w:t>A pesquisa também diferencia audiência, influência e conversão; organiza as principais fontes de receita do ecossistema; examina relações como publicidade, UGC contratado, afiliação, patrocínio e brand ambassador; e incorpora desafios emergentes relacionados a mensuração, inteligência artificial, conteúdo sintético e transparência.</w:t>
      </w:r>
    </w:p>
    <w:p w14:paraId="56449B82">
      <w:pPr>
        <w:keepNext w:val="0"/>
        <w:spacing w:before="0" w:after="0" w:line="360" w:lineRule="auto"/>
        <w:ind w:firstLine="709"/>
        <w:jc w:val="both"/>
      </w:pPr>
      <w:r>
        <w:rPr>
          <w:rFonts w:ascii="Times New Roman" w:hAnsi="Times New Roman"/>
          <w:sz w:val="24"/>
        </w:rPr>
        <w:t>A proposta busca contribuir para uma linguagem mais clara entre creators, empresas, agências, plataformas, pesquisadores e formuladores de políticas públicas, preservando particularidades do mercado brasileiro e permitindo atualização à medida que novas formas de criação e monetização surgem.</w:t>
      </w:r>
    </w:p>
    <w:p w14:paraId="7497EFF3">
      <w:pPr>
        <w:pStyle w:val="3"/>
        <w:keepNext/>
        <w:keepLines/>
        <w:spacing w:before="160" w:after="120"/>
        <w:jc w:val="left"/>
      </w:pPr>
      <w:r>
        <w:rPr>
          <w:rFonts w:ascii="Times New Roman" w:hAnsi="Times New Roman"/>
          <w:b/>
          <w:sz w:val="24"/>
        </w:rPr>
        <w:t>B.4 Chamadas para ação</w:t>
      </w:r>
    </w:p>
    <w:p w14:paraId="57EED5E1">
      <w:pPr>
        <w:pStyle w:val="34"/>
        <w:spacing w:line="360" w:lineRule="auto"/>
        <w:ind w:left="709" w:hanging="283"/>
        <w:jc w:val="both"/>
      </w:pPr>
      <w:r>
        <w:rPr>
          <w:rFonts w:ascii="Times New Roman" w:hAnsi="Times New Roman"/>
          <w:sz w:val="24"/>
        </w:rPr>
        <w:t xml:space="preserve">EXPLORE A TRAMA DIGITAL</w:t>
      </w:r>
    </w:p>
    <w:p w14:paraId="686E0652">
      <w:pPr>
        <w:pStyle w:val="34"/>
        <w:spacing w:line="360" w:lineRule="auto"/>
        <w:ind w:left="709" w:hanging="283"/>
        <w:jc w:val="both"/>
      </w:pPr>
      <w:r>
        <w:rPr>
          <w:rFonts w:ascii="Times New Roman" w:hAnsi="Times New Roman"/>
          <w:sz w:val="24"/>
        </w:rPr>
        <w:t>LEIA O ARTIGO CIENTÍFICO COMPLETO</w:t>
      </w:r>
    </w:p>
    <w:p w14:paraId="790875F9">
      <w:pPr>
        <w:pStyle w:val="34"/>
        <w:spacing w:line="360" w:lineRule="auto"/>
        <w:ind w:left="709" w:hanging="283"/>
        <w:jc w:val="both"/>
      </w:pPr>
      <w:r>
        <w:rPr>
          <w:rFonts w:ascii="Times New Roman" w:hAnsi="Times New Roman"/>
          <w:sz w:val="24"/>
        </w:rPr>
        <w:t>CONSULTE O MAPA DA TAXONOMIA BRASILEIRA MULTIDIMENSIONAL</w:t>
      </w:r>
    </w:p>
    <w:p w14:paraId="6FB1A7C7">
      <w:pPr>
        <w:pStyle w:val="3"/>
        <w:keepNext/>
        <w:keepLines/>
        <w:spacing w:before="160" w:after="120"/>
        <w:jc w:val="left"/>
      </w:pPr>
      <w:r>
        <w:rPr>
          <w:rFonts w:ascii="Times New Roman" w:hAnsi="Times New Roman"/>
          <w:b/>
          <w:sz w:val="24"/>
        </w:rPr>
        <w:t>B.5 Estrutura visual recomendada</w:t>
      </w:r>
    </w:p>
    <w:tbl>
      <w:tblPr>
        <w:tblStyle w:val="3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50"/>
        <w:gridCol w:w="4497"/>
        <w:gridCol w:w="2818"/>
      </w:tblGrid>
      <w:tr w14:paraId="5591B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cantSplit/>
        </w:trPr>
        <w:tc>
          <w:tcPr>
            <w:tcW w:w="2268" w:type="dxa"/>
            <w:shd w:val="clear" w:color="auto" w:fill="D9E2F3"/>
            <w:tcMar>
              <w:top w:w="80" w:type="dxa"/>
              <w:left w:w="80" w:type="dxa"/>
              <w:bottom w:w="80" w:type="dxa"/>
              <w:right w:w="80" w:type="dxa"/>
            </w:tcMar>
            <w:vAlign w:val="center"/>
          </w:tcPr>
          <w:p w14:paraId="314C3A33">
            <w:pPr>
              <w:spacing w:after="0" w:line="240" w:lineRule="auto"/>
              <w:jc w:val="center"/>
            </w:pPr>
            <w:r>
              <w:rPr>
                <w:rFonts w:ascii="Times New Roman" w:hAnsi="Times New Roman"/>
                <w:b/>
                <w:sz w:val="18"/>
              </w:rPr>
              <w:t>Bloco da página</w:t>
            </w:r>
          </w:p>
        </w:tc>
        <w:tc>
          <w:tcPr>
            <w:tcW w:w="4535" w:type="dxa"/>
            <w:shd w:val="clear" w:color="auto" w:fill="D9E2F3"/>
            <w:tcMar>
              <w:top w:w="80" w:type="dxa"/>
              <w:left w:w="80" w:type="dxa"/>
              <w:bottom w:w="80" w:type="dxa"/>
              <w:right w:w="80" w:type="dxa"/>
            </w:tcMar>
            <w:vAlign w:val="center"/>
          </w:tcPr>
          <w:p w14:paraId="2ACB558D">
            <w:pPr>
              <w:spacing w:after="0" w:line="240" w:lineRule="auto"/>
              <w:jc w:val="center"/>
            </w:pPr>
            <w:r>
              <w:rPr>
                <w:rFonts w:ascii="Times New Roman" w:hAnsi="Times New Roman"/>
                <w:b/>
                <w:sz w:val="18"/>
              </w:rPr>
              <w:t>Conteúdo</w:t>
            </w:r>
          </w:p>
        </w:tc>
        <w:tc>
          <w:tcPr>
            <w:tcW w:w="2835" w:type="dxa"/>
            <w:shd w:val="clear" w:color="auto" w:fill="D9E2F3"/>
            <w:tcMar>
              <w:top w:w="80" w:type="dxa"/>
              <w:left w:w="80" w:type="dxa"/>
              <w:bottom w:w="80" w:type="dxa"/>
              <w:right w:w="80" w:type="dxa"/>
            </w:tcMar>
            <w:vAlign w:val="center"/>
          </w:tcPr>
          <w:p w14:paraId="25AA3EA2">
            <w:pPr>
              <w:spacing w:after="0" w:line="240" w:lineRule="auto"/>
              <w:jc w:val="center"/>
            </w:pPr>
            <w:r>
              <w:rPr>
                <w:rFonts w:ascii="Times New Roman" w:hAnsi="Times New Roman"/>
                <w:b/>
                <w:sz w:val="18"/>
              </w:rPr>
              <w:t>Objetivo</w:t>
            </w:r>
          </w:p>
        </w:tc>
      </w:tr>
      <w:tr w14:paraId="61BE3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cantSplit/>
        </w:trPr>
        <w:tc>
          <w:tcPr>
            <w:tcW w:w="2268" w:type="dxa"/>
            <w:tcMar>
              <w:top w:w="80" w:type="dxa"/>
              <w:left w:w="80" w:type="dxa"/>
              <w:bottom w:w="80" w:type="dxa"/>
              <w:right w:w="80" w:type="dxa"/>
            </w:tcMar>
            <w:vAlign w:val="top"/>
          </w:tcPr>
          <w:p w14:paraId="685D42E7">
            <w:pPr>
              <w:spacing w:after="0" w:line="240" w:lineRule="auto"/>
              <w:jc w:val="left"/>
            </w:pPr>
            <w:r>
              <w:rPr>
                <w:rFonts w:ascii="Times New Roman" w:hAnsi="Times New Roman"/>
                <w:sz w:val="18"/>
              </w:rPr>
              <w:t>Imagem de abertura</w:t>
            </w:r>
          </w:p>
        </w:tc>
        <w:tc>
          <w:tcPr>
            <w:tcW w:w="4535" w:type="dxa"/>
            <w:tcMar>
              <w:top w:w="80" w:type="dxa"/>
              <w:left w:w="80" w:type="dxa"/>
              <w:bottom w:w="80" w:type="dxa"/>
              <w:right w:w="80" w:type="dxa"/>
            </w:tcMar>
            <w:vAlign w:val="top"/>
          </w:tcPr>
          <w:p w14:paraId="6FA30484">
            <w:pPr>
              <w:spacing w:after="0" w:line="240" w:lineRule="auto"/>
              <w:jc w:val="left"/>
            </w:pPr>
            <w:r>
              <w:rPr>
                <w:rFonts w:ascii="Times New Roman" w:hAnsi="Times New Roman"/>
                <w:sz w:val="18"/>
              </w:rPr>
              <w:t>Mapa-síntese da taxonomia multidimensional.</w:t>
            </w:r>
          </w:p>
        </w:tc>
        <w:tc>
          <w:tcPr>
            <w:tcW w:w="2835" w:type="dxa"/>
            <w:tcMar>
              <w:top w:w="80" w:type="dxa"/>
              <w:left w:w="80" w:type="dxa"/>
              <w:bottom w:w="80" w:type="dxa"/>
              <w:right w:w="80" w:type="dxa"/>
            </w:tcMar>
            <w:vAlign w:val="top"/>
          </w:tcPr>
          <w:p w14:paraId="43550B3D">
            <w:pPr>
              <w:spacing w:after="0" w:line="240" w:lineRule="auto"/>
              <w:jc w:val="left"/>
            </w:pPr>
            <w:r>
              <w:rPr>
                <w:rFonts w:ascii="Times New Roman" w:hAnsi="Times New Roman"/>
                <w:sz w:val="18"/>
              </w:rPr>
              <w:t>Transformar o principal resultado em identidade visual.</w:t>
            </w:r>
          </w:p>
        </w:tc>
      </w:tr>
      <w:tr w14:paraId="0C8FA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cantSplit/>
        </w:trPr>
        <w:tc>
          <w:tcPr>
            <w:tcW w:w="2268" w:type="dxa"/>
            <w:tcMar>
              <w:top w:w="80" w:type="dxa"/>
              <w:left w:w="80" w:type="dxa"/>
              <w:bottom w:w="80" w:type="dxa"/>
              <w:right w:w="80" w:type="dxa"/>
            </w:tcMar>
            <w:vAlign w:val="top"/>
          </w:tcPr>
          <w:p w14:paraId="1F6B7519">
            <w:pPr>
              <w:spacing w:after="0" w:line="240" w:lineRule="auto"/>
              <w:jc w:val="left"/>
            </w:pPr>
            <w:r>
              <w:rPr>
                <w:rFonts w:ascii="Times New Roman" w:hAnsi="Times New Roman"/>
                <w:sz w:val="18"/>
              </w:rPr>
              <w:t>Contexto</w:t>
            </w:r>
          </w:p>
        </w:tc>
        <w:tc>
          <w:tcPr>
            <w:tcW w:w="4535" w:type="dxa"/>
            <w:tcMar>
              <w:top w:w="80" w:type="dxa"/>
              <w:left w:w="80" w:type="dxa"/>
              <w:bottom w:w="80" w:type="dxa"/>
              <w:right w:w="80" w:type="dxa"/>
            </w:tcMar>
            <w:vAlign w:val="top"/>
          </w:tcPr>
          <w:p w14:paraId="66DD9E63">
            <w:pPr>
              <w:spacing w:after="0" w:line="240" w:lineRule="auto"/>
              <w:jc w:val="left"/>
            </w:pPr>
            <w:r>
              <w:rPr>
                <w:rFonts w:ascii="Times New Roman" w:hAnsi="Times New Roman"/>
                <w:sz w:val="18"/>
              </w:rPr>
              <w:t>2 a 3 parágrafos curtos sobre fragmentação terminológica e expansão do ecossistema.</w:t>
            </w:r>
          </w:p>
        </w:tc>
        <w:tc>
          <w:tcPr>
            <w:tcW w:w="2835" w:type="dxa"/>
            <w:tcMar>
              <w:top w:w="80" w:type="dxa"/>
              <w:left w:w="80" w:type="dxa"/>
              <w:bottom w:w="80" w:type="dxa"/>
              <w:right w:w="80" w:type="dxa"/>
            </w:tcMar>
            <w:vAlign w:val="top"/>
          </w:tcPr>
          <w:p w14:paraId="6189A1CE">
            <w:pPr>
              <w:spacing w:after="0" w:line="240" w:lineRule="auto"/>
              <w:jc w:val="left"/>
            </w:pPr>
            <w:r>
              <w:rPr>
                <w:rFonts w:ascii="Times New Roman" w:hAnsi="Times New Roman"/>
                <w:sz w:val="18"/>
              </w:rPr>
              <w:t>Introduzir o problema.</w:t>
            </w:r>
          </w:p>
        </w:tc>
      </w:tr>
      <w:tr w14:paraId="5316B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cantSplit/>
        </w:trPr>
        <w:tc>
          <w:tcPr>
            <w:tcW w:w="2268" w:type="dxa"/>
            <w:tcMar>
              <w:top w:w="80" w:type="dxa"/>
              <w:left w:w="80" w:type="dxa"/>
              <w:bottom w:w="80" w:type="dxa"/>
              <w:right w:w="80" w:type="dxa"/>
            </w:tcMar>
            <w:vAlign w:val="top"/>
          </w:tcPr>
          <w:p w14:paraId="3E528C43">
            <w:pPr>
              <w:spacing w:after="0" w:line="240" w:lineRule="auto"/>
              <w:jc w:val="left"/>
            </w:pPr>
            <w:r>
              <w:rPr>
                <w:rFonts w:ascii="Times New Roman" w:hAnsi="Times New Roman"/>
                <w:sz w:val="18"/>
              </w:rPr>
              <w:t>Método</w:t>
            </w:r>
          </w:p>
        </w:tc>
        <w:tc>
          <w:tcPr>
            <w:tcW w:w="4535" w:type="dxa"/>
            <w:tcMar>
              <w:top w:w="80" w:type="dxa"/>
              <w:left w:w="80" w:type="dxa"/>
              <w:bottom w:w="80" w:type="dxa"/>
              <w:right w:w="80" w:type="dxa"/>
            </w:tcMar>
            <w:vAlign w:val="top"/>
          </w:tcPr>
          <w:p w14:paraId="5520AE2E">
            <w:pPr>
              <w:spacing w:after="0" w:line="240" w:lineRule="auto"/>
              <w:jc w:val="left"/>
            </w:pPr>
            <w:r>
              <w:rPr>
                <w:rFonts w:ascii="Times New Roman" w:hAnsi="Times New Roman"/>
                <w:sz w:val="18"/>
              </w:rPr>
              <w:t>Box: mapear &gt; comparar &gt; contextualizar &gt; sistematizar &gt; propor.</w:t>
            </w:r>
          </w:p>
        </w:tc>
        <w:tc>
          <w:tcPr>
            <w:tcW w:w="2835" w:type="dxa"/>
            <w:tcMar>
              <w:top w:w="80" w:type="dxa"/>
              <w:left w:w="80" w:type="dxa"/>
              <w:bottom w:w="80" w:type="dxa"/>
              <w:right w:w="80" w:type="dxa"/>
            </w:tcMar>
            <w:vAlign w:val="top"/>
          </w:tcPr>
          <w:p w14:paraId="12F02040">
            <w:pPr>
              <w:spacing w:after="0" w:line="240" w:lineRule="auto"/>
              <w:jc w:val="left"/>
            </w:pPr>
            <w:r>
              <w:rPr>
                <w:rFonts w:ascii="Times New Roman" w:hAnsi="Times New Roman"/>
                <w:sz w:val="18"/>
              </w:rPr>
              <w:t>Evidenciar rigor sem sobrecarregar a página.</w:t>
            </w:r>
          </w:p>
        </w:tc>
      </w:tr>
      <w:tr w14:paraId="6AE86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cantSplit/>
        </w:trPr>
        <w:tc>
          <w:tcPr>
            <w:tcW w:w="2268" w:type="dxa"/>
            <w:tcMar>
              <w:top w:w="80" w:type="dxa"/>
              <w:left w:w="80" w:type="dxa"/>
              <w:bottom w:w="80" w:type="dxa"/>
              <w:right w:w="80" w:type="dxa"/>
            </w:tcMar>
            <w:vAlign w:val="top"/>
          </w:tcPr>
          <w:p w14:paraId="422E8647">
            <w:pPr>
              <w:spacing w:after="0" w:line="240" w:lineRule="auto"/>
              <w:jc w:val="left"/>
            </w:pPr>
            <w:r>
              <w:rPr>
                <w:rFonts w:ascii="Times New Roman" w:hAnsi="Times New Roman"/>
                <w:sz w:val="18"/>
              </w:rPr>
              <w:t>Achado central</w:t>
            </w:r>
          </w:p>
        </w:tc>
        <w:tc>
          <w:tcPr>
            <w:tcW w:w="4535" w:type="dxa"/>
            <w:tcMar>
              <w:top w:w="80" w:type="dxa"/>
              <w:left w:w="80" w:type="dxa"/>
              <w:bottom w:w="80" w:type="dxa"/>
              <w:right w:w="80" w:type="dxa"/>
            </w:tcMar>
            <w:vAlign w:val="top"/>
          </w:tcPr>
          <w:p w14:paraId="4CBD7702">
            <w:pPr>
              <w:spacing w:after="0" w:line="240" w:lineRule="auto"/>
              <w:jc w:val="left"/>
            </w:pPr>
            <w:r>
              <w:rPr>
                <w:rFonts w:ascii="Times New Roman" w:hAnsi="Times New Roman"/>
                <w:sz w:val="18"/>
              </w:rPr>
              <w:t>Seis dimensões com ícones ou cards.</w:t>
            </w:r>
          </w:p>
        </w:tc>
        <w:tc>
          <w:tcPr>
            <w:tcW w:w="2835" w:type="dxa"/>
            <w:tcMar>
              <w:top w:w="80" w:type="dxa"/>
              <w:left w:w="80" w:type="dxa"/>
              <w:bottom w:w="80" w:type="dxa"/>
              <w:right w:w="80" w:type="dxa"/>
            </w:tcMar>
            <w:vAlign w:val="top"/>
          </w:tcPr>
          <w:p w14:paraId="44DFF40B">
            <w:pPr>
              <w:spacing w:after="0" w:line="240" w:lineRule="auto"/>
              <w:jc w:val="left"/>
            </w:pPr>
            <w:r>
              <w:rPr>
                <w:rFonts w:ascii="Times New Roman" w:hAnsi="Times New Roman"/>
                <w:sz w:val="18"/>
              </w:rPr>
              <w:t>Permitir compreensão em poucos segundos.</w:t>
            </w:r>
          </w:p>
        </w:tc>
      </w:tr>
      <w:tr w14:paraId="7FC22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cantSplit/>
        </w:trPr>
        <w:tc>
          <w:tcPr>
            <w:tcW w:w="2268" w:type="dxa"/>
            <w:tcMar>
              <w:top w:w="80" w:type="dxa"/>
              <w:left w:w="80" w:type="dxa"/>
              <w:bottom w:w="80" w:type="dxa"/>
              <w:right w:w="80" w:type="dxa"/>
            </w:tcMar>
            <w:vAlign w:val="top"/>
          </w:tcPr>
          <w:p w14:paraId="7F24C7A0">
            <w:pPr>
              <w:spacing w:after="0" w:line="240" w:lineRule="auto"/>
              <w:jc w:val="left"/>
            </w:pPr>
            <w:r>
              <w:rPr>
                <w:rFonts w:ascii="Times New Roman" w:hAnsi="Times New Roman"/>
                <w:sz w:val="18"/>
              </w:rPr>
              <w:t>Exemplo prático</w:t>
            </w:r>
          </w:p>
        </w:tc>
        <w:tc>
          <w:tcPr>
            <w:tcW w:w="4535" w:type="dxa"/>
            <w:tcMar>
              <w:top w:w="80" w:type="dxa"/>
              <w:left w:w="80" w:type="dxa"/>
              <w:bottom w:w="80" w:type="dxa"/>
              <w:right w:w="80" w:type="dxa"/>
            </w:tcMar>
            <w:vAlign w:val="top"/>
          </w:tcPr>
          <w:p w14:paraId="6A8727D5">
            <w:pPr>
              <w:spacing w:after="0" w:line="240" w:lineRule="auto"/>
              <w:jc w:val="left"/>
            </w:pPr>
            <w:r>
              <w:rPr>
                <w:rFonts w:ascii="Times New Roman" w:hAnsi="Times New Roman"/>
                <w:sz w:val="18"/>
              </w:rPr>
              <w:t>Uma pessoa, vários papéis.</w:t>
            </w:r>
          </w:p>
        </w:tc>
        <w:tc>
          <w:tcPr>
            <w:tcW w:w="2835" w:type="dxa"/>
            <w:tcMar>
              <w:top w:w="80" w:type="dxa"/>
              <w:left w:w="80" w:type="dxa"/>
              <w:bottom w:w="80" w:type="dxa"/>
              <w:right w:w="80" w:type="dxa"/>
            </w:tcMar>
            <w:vAlign w:val="top"/>
          </w:tcPr>
          <w:p w14:paraId="295E7497">
            <w:pPr>
              <w:spacing w:after="0" w:line="240" w:lineRule="auto"/>
              <w:jc w:val="left"/>
            </w:pPr>
            <w:r>
              <w:rPr>
                <w:rFonts w:ascii="Times New Roman" w:hAnsi="Times New Roman"/>
                <w:sz w:val="18"/>
              </w:rPr>
              <w:t>Demonstrar a lógica cumulativa.</w:t>
            </w:r>
          </w:p>
        </w:tc>
      </w:tr>
      <w:tr w14:paraId="0628A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cantSplit/>
        </w:trPr>
        <w:tc>
          <w:tcPr>
            <w:tcW w:w="2268" w:type="dxa"/>
            <w:tcMar>
              <w:top w:w="80" w:type="dxa"/>
              <w:left w:w="80" w:type="dxa"/>
              <w:bottom w:w="80" w:type="dxa"/>
              <w:right w:w="80" w:type="dxa"/>
            </w:tcMar>
            <w:vAlign w:val="top"/>
          </w:tcPr>
          <w:p w14:paraId="0417F6A2">
            <w:pPr>
              <w:spacing w:after="0" w:line="240" w:lineRule="auto"/>
              <w:jc w:val="left"/>
              <w:keepNext w:val="1"/>
            </w:pPr>
            <w:r>
              <w:rPr>
                <w:rFonts w:ascii="Times New Roman" w:hAnsi="Times New Roman"/>
                <w:sz w:val="18"/>
              </w:rPr>
              <w:t>CTA</w:t>
            </w:r>
          </w:p>
        </w:tc>
        <w:tc>
          <w:tcPr>
            <w:tcW w:w="4535" w:type="dxa"/>
            <w:tcMar>
              <w:top w:w="80" w:type="dxa"/>
              <w:left w:w="80" w:type="dxa"/>
              <w:bottom w:w="80" w:type="dxa"/>
              <w:right w:w="80" w:type="dxa"/>
            </w:tcMar>
            <w:vAlign w:val="top"/>
          </w:tcPr>
          <w:p w14:paraId="1FA3E2B9">
            <w:pPr>
              <w:spacing w:after="0" w:line="240" w:lineRule="auto"/>
              <w:jc w:val="left"/>
              <w:keepNext w:val="1"/>
            </w:pPr>
            <w:r>
              <w:rPr>
                <w:rFonts w:ascii="Times New Roman" w:hAnsi="Times New Roman"/>
                <w:sz w:val="18"/>
              </w:rPr>
              <w:t>Guia | Artigo | Mapa.</w:t>
            </w:r>
          </w:p>
        </w:tc>
        <w:tc>
          <w:tcPr>
            <w:tcW w:w="2835" w:type="dxa"/>
            <w:tcMar>
              <w:top w:w="80" w:type="dxa"/>
              <w:left w:w="80" w:type="dxa"/>
              <w:bottom w:w="80" w:type="dxa"/>
              <w:right w:w="80" w:type="dxa"/>
            </w:tcMar>
            <w:vAlign w:val="top"/>
          </w:tcPr>
          <w:p w14:paraId="6318305F">
            <w:pPr>
              <w:spacing w:after="0" w:line="240" w:lineRule="auto"/>
              <w:jc w:val="left"/>
              <w:keepNext w:val="1"/>
            </w:pPr>
            <w:r>
              <w:rPr>
                <w:rFonts w:ascii="Times New Roman" w:hAnsi="Times New Roman"/>
                <w:sz w:val="18"/>
              </w:rPr>
              <w:t>Oferecer diferentes níveis de aprofundamento.</w:t>
            </w:r>
          </w:p>
        </w:tc>
      </w:tr>
    </w:tbl>
    <w:p w14:paraId="2D5E55D5">
      <w:pPr>
        <w:spacing w:after="0"/>
        <w:keepNext w:val="1"/>
      </w:pPr>
    </w:p>
    <w:p w14:paraId="5408FB75">
      <w:pPr>
        <w:keepNext/>
        <w:spacing w:after="60" w:before="60"/>
        <w:jc w:val="center"/>
      </w:pPr>
      <w:r>
        <w:rPr>
          <w:rFonts w:ascii="Times New Roman" w:hAnsi="Times New Roman"/>
          <w:i/>
          <w:sz w:val="20"/>
        </w:rPr>
        <w:t xml:space="preserve">Quadro B1 - Arquitetura recomendada para a divulgação da pesquisa. Fonte: elaboração própria.</w:t>
      </w:r>
    </w:p>
    <w:p w14:paraId="521C3566">
      <w:pPr>
        <w:pStyle w:val="3"/>
        <w:keepNext/>
        <w:keepLines/>
        <w:spacing w:before="160" w:after="120"/>
        <w:jc w:val="left"/>
      </w:pPr>
      <w:r>
        <w:rPr>
          <w:rFonts w:ascii="Times New Roman" w:hAnsi="Times New Roman"/>
          <w:b/>
          <w:sz w:val="24"/>
        </w:rPr>
        <w:t>B.6 Metadados sugeridos</w:t>
      </w:r>
    </w:p>
    <w:tbl>
      <w:tblPr>
        <w:tblStyle w:val="3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55"/>
        <w:gridCol w:w="7310"/>
      </w:tblGrid>
      <w:tr w14:paraId="4AA0A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cantSplit/>
        </w:trPr>
        <w:tc>
          <w:tcPr>
            <w:tcW w:w="2268" w:type="dxa"/>
            <w:shd w:val="clear" w:color="auto" w:fill="D9E2F3"/>
            <w:tcMar>
              <w:top w:w="80" w:type="dxa"/>
              <w:left w:w="80" w:type="dxa"/>
              <w:bottom w:w="80" w:type="dxa"/>
              <w:right w:w="80" w:type="dxa"/>
            </w:tcMar>
            <w:vAlign w:val="center"/>
          </w:tcPr>
          <w:p w14:paraId="60D6A3EE">
            <w:pPr>
              <w:spacing w:after="0" w:line="240" w:lineRule="auto"/>
              <w:jc w:val="center"/>
            </w:pPr>
            <w:r>
              <w:rPr>
                <w:rFonts w:ascii="Times New Roman" w:hAnsi="Times New Roman"/>
                <w:b/>
                <w:sz w:val="18"/>
              </w:rPr>
              <w:t>Elemento</w:t>
            </w:r>
          </w:p>
        </w:tc>
        <w:tc>
          <w:tcPr>
            <w:tcW w:w="7370" w:type="dxa"/>
            <w:shd w:val="clear" w:color="auto" w:fill="D9E2F3"/>
            <w:tcMar>
              <w:top w:w="80" w:type="dxa"/>
              <w:left w:w="80" w:type="dxa"/>
              <w:bottom w:w="80" w:type="dxa"/>
              <w:right w:w="80" w:type="dxa"/>
            </w:tcMar>
            <w:vAlign w:val="center"/>
          </w:tcPr>
          <w:p w14:paraId="6D7A01BD">
            <w:pPr>
              <w:spacing w:after="0" w:line="240" w:lineRule="auto"/>
              <w:jc w:val="center"/>
            </w:pPr>
            <w:r>
              <w:rPr>
                <w:rFonts w:ascii="Times New Roman" w:hAnsi="Times New Roman"/>
                <w:b/>
                <w:sz w:val="18"/>
              </w:rPr>
              <w:t>Proposta</w:t>
            </w:r>
          </w:p>
        </w:tc>
      </w:tr>
      <w:tr w14:paraId="6A294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cantSplit/>
        </w:trPr>
        <w:tc>
          <w:tcPr>
            <w:tcW w:w="2268" w:type="dxa"/>
            <w:tcMar>
              <w:top w:w="80" w:type="dxa"/>
              <w:left w:w="80" w:type="dxa"/>
              <w:bottom w:w="80" w:type="dxa"/>
              <w:right w:w="80" w:type="dxa"/>
            </w:tcMar>
            <w:vAlign w:val="top"/>
          </w:tcPr>
          <w:p w14:paraId="46C5FBB2">
            <w:pPr>
              <w:spacing w:after="0" w:line="240" w:lineRule="auto"/>
              <w:jc w:val="left"/>
            </w:pPr>
            <w:r>
              <w:rPr>
                <w:rFonts w:ascii="Times New Roman" w:hAnsi="Times New Roman"/>
                <w:sz w:val="18"/>
              </w:rPr>
              <w:t>Slug</w:t>
            </w:r>
          </w:p>
        </w:tc>
        <w:tc>
          <w:tcPr>
            <w:tcW w:w="7370" w:type="dxa"/>
            <w:tcMar>
              <w:top w:w="80" w:type="dxa"/>
              <w:left w:w="80" w:type="dxa"/>
              <w:bottom w:w="80" w:type="dxa"/>
              <w:right w:w="80" w:type="dxa"/>
            </w:tcMar>
            <w:vAlign w:val="top"/>
          </w:tcPr>
          <w:p w14:paraId="41CA329D">
            <w:pPr>
              <w:spacing w:after="0" w:line="240" w:lineRule="auto"/>
              <w:jc w:val="left"/>
            </w:pPr>
            <w:r>
              <w:rPr>
                <w:rFonts w:ascii="Times New Roman" w:hAnsi="Times New Roman"/>
                <w:sz w:val="18"/>
              </w:rPr>
              <w:t xml:space="preserve">trama-digital-pesquisa</w:t>
            </w:r>
          </w:p>
        </w:tc>
      </w:tr>
      <w:tr w14:paraId="2BE14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cantSplit/>
        </w:trPr>
        <w:tc>
          <w:tcPr>
            <w:tcW w:w="2268" w:type="dxa"/>
            <w:tcMar>
              <w:top w:w="80" w:type="dxa"/>
              <w:left w:w="80" w:type="dxa"/>
              <w:bottom w:w="80" w:type="dxa"/>
              <w:right w:w="80" w:type="dxa"/>
            </w:tcMar>
            <w:vAlign w:val="top"/>
          </w:tcPr>
          <w:p w14:paraId="1F812B04">
            <w:pPr>
              <w:spacing w:after="0" w:line="240" w:lineRule="auto"/>
              <w:jc w:val="left"/>
            </w:pPr>
            <w:r>
              <w:rPr>
                <w:rFonts w:ascii="Times New Roman" w:hAnsi="Times New Roman"/>
                <w:sz w:val="18"/>
              </w:rPr>
              <w:t>Meta title</w:t>
            </w:r>
          </w:p>
        </w:tc>
        <w:tc>
          <w:tcPr>
            <w:tcW w:w="7370" w:type="dxa"/>
            <w:tcMar>
              <w:top w:w="80" w:type="dxa"/>
              <w:left w:w="80" w:type="dxa"/>
              <w:bottom w:w="80" w:type="dxa"/>
              <w:right w:w="80" w:type="dxa"/>
            </w:tcMar>
            <w:vAlign w:val="top"/>
          </w:tcPr>
          <w:p w14:paraId="0AD12205">
            <w:pPr>
              <w:spacing w:after="0" w:line="240" w:lineRule="auto"/>
              <w:jc w:val="left"/>
            </w:pPr>
            <w:r>
              <w:rPr>
                <w:rFonts w:ascii="Times New Roman" w:hAnsi="Times New Roman"/>
                <w:sz w:val="18"/>
              </w:rPr>
              <w:t xml:space="preserve">Trama Digital | Pesquisa de Ana Maria Carvalheiro</w:t>
            </w:r>
          </w:p>
        </w:tc>
      </w:tr>
      <w:tr w14:paraId="485CA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cantSplit/>
        </w:trPr>
        <w:tc>
          <w:tcPr>
            <w:tcW w:w="2268" w:type="dxa"/>
            <w:tcMar>
              <w:top w:w="80" w:type="dxa"/>
              <w:left w:w="80" w:type="dxa"/>
              <w:bottom w:w="80" w:type="dxa"/>
              <w:right w:w="80" w:type="dxa"/>
            </w:tcMar>
            <w:vAlign w:val="top"/>
          </w:tcPr>
          <w:p w14:paraId="7CA2D2C9">
            <w:pPr>
              <w:spacing w:after="0" w:line="240" w:lineRule="auto"/>
              <w:jc w:val="left"/>
            </w:pPr>
            <w:r>
              <w:rPr>
                <w:rFonts w:ascii="Times New Roman" w:hAnsi="Times New Roman"/>
                <w:sz w:val="18"/>
              </w:rPr>
              <w:t>Meta description</w:t>
            </w:r>
          </w:p>
        </w:tc>
        <w:tc>
          <w:tcPr>
            <w:tcW w:w="7370" w:type="dxa"/>
            <w:tcMar>
              <w:top w:w="80" w:type="dxa"/>
              <w:left w:w="80" w:type="dxa"/>
              <w:bottom w:w="80" w:type="dxa"/>
              <w:right w:w="80" w:type="dxa"/>
            </w:tcMar>
            <w:vAlign w:val="top"/>
          </w:tcPr>
          <w:p w14:paraId="4947021A">
            <w:pPr>
              <w:spacing w:after="0" w:line="240" w:lineRule="auto"/>
              <w:jc w:val="left"/>
            </w:pPr>
            <w:r>
              <w:rPr>
                <w:rFonts w:ascii="Times New Roman" w:hAnsi="Times New Roman"/>
                <w:sz w:val="18"/>
              </w:rPr>
              <w:t xml:space="preserve">Pesquisa de Ana Maria Carvalheiro organiza os participantes, a influência, as fontes de receita, as relações comerciais e a infraestrutura da criação de conteúdo.</w:t>
            </w:r>
          </w:p>
        </w:tc>
      </w:tr>
      <w:tr w14:paraId="3ABA5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cantSplit/>
        </w:trPr>
        <w:tc>
          <w:tcPr>
            <w:tcW w:w="2268" w:type="dxa"/>
            <w:tcMar>
              <w:top w:w="80" w:type="dxa"/>
              <w:left w:w="80" w:type="dxa"/>
              <w:bottom w:w="80" w:type="dxa"/>
              <w:right w:w="80" w:type="dxa"/>
            </w:tcMar>
            <w:vAlign w:val="top"/>
          </w:tcPr>
          <w:p w14:paraId="0899EA94">
            <w:pPr>
              <w:spacing w:after="0" w:line="240" w:lineRule="auto"/>
              <w:jc w:val="left"/>
            </w:pPr>
            <w:r>
              <w:rPr>
                <w:rFonts w:ascii="Times New Roman" w:hAnsi="Times New Roman"/>
                <w:sz w:val="18"/>
              </w:rPr>
              <w:t>Categoria</w:t>
            </w:r>
          </w:p>
        </w:tc>
        <w:tc>
          <w:tcPr>
            <w:tcW w:w="7370" w:type="dxa"/>
            <w:tcMar>
              <w:top w:w="80" w:type="dxa"/>
              <w:left w:w="80" w:type="dxa"/>
              <w:bottom w:w="80" w:type="dxa"/>
              <w:right w:w="80" w:type="dxa"/>
            </w:tcMar>
            <w:vAlign w:val="top"/>
          </w:tcPr>
          <w:p w14:paraId="4F4A9370">
            <w:pPr>
              <w:spacing w:after="0" w:line="240" w:lineRule="auto"/>
              <w:jc w:val="left"/>
            </w:pPr>
            <w:r>
              <w:rPr>
                <w:rFonts w:ascii="Times New Roman" w:hAnsi="Times New Roman"/>
                <w:sz w:val="18"/>
              </w:rPr>
              <w:t>Publicações / Estudos</w:t>
            </w:r>
          </w:p>
        </w:tc>
      </w:tr>
      <w:tr w14:paraId="107BA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cantSplit/>
        </w:trPr>
        <w:tc>
          <w:tcPr>
            <w:tcW w:w="2268" w:type="dxa"/>
            <w:tcMar>
              <w:top w:w="80" w:type="dxa"/>
              <w:left w:w="80" w:type="dxa"/>
              <w:bottom w:w="80" w:type="dxa"/>
              <w:right w:w="80" w:type="dxa"/>
            </w:tcMar>
            <w:vAlign w:val="top"/>
          </w:tcPr>
          <w:p w14:paraId="5B6906FD">
            <w:pPr>
              <w:spacing w:after="0" w:line="240" w:lineRule="auto"/>
              <w:jc w:val="left"/>
            </w:pPr>
            <w:r>
              <w:rPr>
                <w:rFonts w:ascii="Times New Roman" w:hAnsi="Times New Roman"/>
                <w:sz w:val="18"/>
              </w:rPr>
              <w:t>Imagem social</w:t>
            </w:r>
          </w:p>
        </w:tc>
        <w:tc>
          <w:tcPr>
            <w:tcW w:w="7370" w:type="dxa"/>
            <w:tcMar>
              <w:top w:w="80" w:type="dxa"/>
              <w:left w:w="80" w:type="dxa"/>
              <w:bottom w:w="80" w:type="dxa"/>
              <w:right w:w="80" w:type="dxa"/>
            </w:tcMar>
            <w:vAlign w:val="top"/>
          </w:tcPr>
          <w:p w14:paraId="04D69865">
            <w:pPr>
              <w:spacing w:after="0" w:line="240" w:lineRule="auto"/>
              <w:jc w:val="left"/>
            </w:pPr>
            <w:r>
              <w:rPr>
                <w:rFonts w:ascii="Times New Roman" w:hAnsi="Times New Roman"/>
                <w:sz w:val="18"/>
              </w:rPr>
              <w:t>Mapa-síntese da taxonomia em proporção 1,91:1 e versão quadrada para redes sociais.</w:t>
            </w:r>
          </w:p>
        </w:tc>
      </w:tr>
      <w:tr w14:paraId="55A67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cantSplit/>
        </w:trPr>
        <w:tc>
          <w:tcPr>
            <w:tcW w:w="2268" w:type="dxa"/>
            <w:tcMar>
              <w:top w:w="80" w:type="dxa"/>
              <w:left w:w="80" w:type="dxa"/>
              <w:bottom w:w="80" w:type="dxa"/>
              <w:right w:w="80" w:type="dxa"/>
            </w:tcMar>
            <w:vAlign w:val="top"/>
          </w:tcPr>
          <w:p w14:paraId="087E2B87">
            <w:pPr>
              <w:spacing w:after="0" w:line="240" w:lineRule="auto"/>
              <w:jc w:val="left"/>
            </w:pPr>
            <w:r>
              <w:rPr>
                <w:rFonts w:ascii="Times New Roman" w:hAnsi="Times New Roman"/>
                <w:sz w:val="18"/>
              </w:rPr>
              <w:t>Tags</w:t>
            </w:r>
          </w:p>
        </w:tc>
        <w:tc>
          <w:tcPr>
            <w:tcW w:w="7370" w:type="dxa"/>
            <w:tcMar>
              <w:top w:w="80" w:type="dxa"/>
              <w:left w:w="80" w:type="dxa"/>
              <w:bottom w:w="80" w:type="dxa"/>
              <w:right w:w="80" w:type="dxa"/>
            </w:tcMar>
            <w:vAlign w:val="top"/>
          </w:tcPr>
          <w:p w14:paraId="4DED4229">
            <w:pPr>
              <w:spacing w:after="0" w:line="240" w:lineRule="auto"/>
              <w:jc w:val="left"/>
            </w:pPr>
            <w:r>
              <w:rPr>
                <w:rFonts w:ascii="Times New Roman" w:hAnsi="Times New Roman"/>
                <w:sz w:val="18"/>
              </w:rPr>
              <w:t xml:space="preserve">economia da criação de conteúdo; creators; influenciadores; plataformas; publicidade digital; monetização; inteligência artificial.</w:t>
            </w:r>
          </w:p>
        </w:tc>
      </w:tr>
    </w:tbl>
    <w:p w14:paraId="2B0FBFD3">
      <w:pPr>
        <w:spacing w:after="0"/>
      </w:pPr>
    </w:p>
    <w:p w14:paraId="1165F6A5">
      <w:pPr>
        <w:pStyle w:val="2"/>
        <w:keepNext/>
        <w:keepLines/>
        <w:spacing w:before="240" w:after="120"/>
        <w:jc w:val="left"/>
      </w:pPr>
      <w:r>
        <w:rPr>
          <w:rFonts w:ascii="Times New Roman" w:hAnsi="Times New Roman"/>
          <w:b/>
          <w:sz w:val="24"/>
        </w:rPr>
        <w:t>APÊNDICE C - CHECKLIST DE RASTREABILIDADE E QUALIDADE</w:t>
      </w:r>
    </w:p>
    <w:p w14:paraId="5FF6D7CD">
      <w:pPr>
        <w:keepNext w:val="0"/>
        <w:spacing w:before="0" w:after="0" w:line="360" w:lineRule="auto"/>
        <w:ind w:firstLine="709"/>
        <w:jc w:val="both"/>
      </w:pPr>
      <w:r>
        <w:rPr>
          <w:rFonts w:ascii="Times New Roman" w:hAnsi="Times New Roman"/>
          <w:sz w:val="24"/>
        </w:rPr>
        <w:t>Antes da publicação final do Guia e do artigo, recomenda-se aplicar o seguinte checklist de encerramento:</w:t>
      </w:r>
    </w:p>
    <w:tbl>
      <w:tblPr>
        <w:tblStyle w:val="3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57"/>
        <w:gridCol w:w="7308"/>
      </w:tblGrid>
      <w:tr w14:paraId="41BC4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cantSplit/>
        </w:trPr>
        <w:tc>
          <w:tcPr>
            <w:tcW w:w="2268" w:type="dxa"/>
            <w:shd w:val="clear" w:color="auto" w:fill="D9E2F3"/>
            <w:tcMar>
              <w:top w:w="80" w:type="dxa"/>
              <w:left w:w="80" w:type="dxa"/>
              <w:bottom w:w="80" w:type="dxa"/>
              <w:right w:w="80" w:type="dxa"/>
            </w:tcMar>
            <w:vAlign w:val="center"/>
          </w:tcPr>
          <w:p w14:paraId="0F5C41A5">
            <w:pPr>
              <w:spacing w:after="0" w:line="240" w:lineRule="auto" w:before="0"/>
              <w:jc w:val="center"/>
            </w:pPr>
            <w:r>
              <w:rPr>
                <w:rFonts w:ascii="Times New Roman" w:hAnsi="Times New Roman"/>
                <w:b/>
                <w:sz w:val="18"/>
              </w:rPr>
              <w:t>Gate</w:t>
            </w:r>
          </w:p>
        </w:tc>
        <w:tc>
          <w:tcPr>
            <w:tcW w:w="7370" w:type="dxa"/>
            <w:shd w:val="clear" w:color="auto" w:fill="D9E2F3"/>
            <w:tcMar>
              <w:top w:w="80" w:type="dxa"/>
              <w:left w:w="80" w:type="dxa"/>
              <w:bottom w:w="80" w:type="dxa"/>
              <w:right w:w="80" w:type="dxa"/>
            </w:tcMar>
            <w:vAlign w:val="center"/>
          </w:tcPr>
          <w:p w14:paraId="0724706D">
            <w:pPr>
              <w:spacing w:after="0" w:line="240" w:lineRule="auto" w:before="0"/>
              <w:jc w:val="center"/>
            </w:pPr>
            <w:r>
              <w:rPr>
                <w:rFonts w:ascii="Times New Roman" w:hAnsi="Times New Roman"/>
                <w:b/>
                <w:sz w:val="18"/>
              </w:rPr>
              <w:t>Pergunta de controle</w:t>
            </w:r>
          </w:p>
        </w:tc>
      </w:tr>
      <w:tr w14:paraId="242F7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cantSplit/>
        </w:trPr>
        <w:tc>
          <w:tcPr>
            <w:tcW w:w="2268" w:type="dxa"/>
            <w:tcMar>
              <w:top w:w="80" w:type="dxa"/>
              <w:left w:w="80" w:type="dxa"/>
              <w:bottom w:w="80" w:type="dxa"/>
              <w:right w:w="80" w:type="dxa"/>
            </w:tcMar>
            <w:vAlign w:val="top"/>
          </w:tcPr>
          <w:p w14:paraId="6917A8E4">
            <w:pPr>
              <w:spacing w:after="0" w:line="240" w:lineRule="auto" w:before="0"/>
              <w:jc w:val="left"/>
            </w:pPr>
            <w:r>
              <w:rPr>
                <w:rFonts w:ascii="Times New Roman" w:hAnsi="Times New Roman"/>
                <w:sz w:val="18"/>
              </w:rPr>
              <w:t>Fontes</w:t>
            </w:r>
          </w:p>
        </w:tc>
        <w:tc>
          <w:tcPr>
            <w:tcW w:w="7370" w:type="dxa"/>
            <w:tcMar>
              <w:top w:w="80" w:type="dxa"/>
              <w:left w:w="80" w:type="dxa"/>
              <w:bottom w:w="80" w:type="dxa"/>
              <w:right w:w="80" w:type="dxa"/>
            </w:tcMar>
            <w:vAlign w:val="top"/>
          </w:tcPr>
          <w:p w14:paraId="0E8E60F2">
            <w:pPr>
              <w:spacing w:after="0" w:line="240" w:lineRule="auto" w:before="0"/>
              <w:jc w:val="left"/>
            </w:pPr>
            <w:r>
              <w:rPr>
                <w:rFonts w:ascii="Times New Roman" w:hAnsi="Times New Roman"/>
                <w:sz w:val="18"/>
              </w:rPr>
              <w:t>Toda referência essencial está identificada, datada, acessível e corretamente citada?</w:t>
            </w:r>
          </w:p>
        </w:tc>
      </w:tr>
      <w:tr w14:paraId="2B7F3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cantSplit/>
        </w:trPr>
        <w:tc>
          <w:tcPr>
            <w:tcW w:w="2268" w:type="dxa"/>
            <w:tcMar>
              <w:top w:w="80" w:type="dxa"/>
              <w:left w:w="80" w:type="dxa"/>
              <w:bottom w:w="80" w:type="dxa"/>
              <w:right w:w="80" w:type="dxa"/>
            </w:tcMar>
            <w:vAlign w:val="top"/>
          </w:tcPr>
          <w:p w14:paraId="24B95D61">
            <w:pPr>
              <w:spacing w:after="0" w:line="240" w:lineRule="auto" w:before="0"/>
              <w:jc w:val="left"/>
            </w:pPr>
            <w:r>
              <w:rPr>
                <w:rFonts w:ascii="Times New Roman" w:hAnsi="Times New Roman"/>
                <w:sz w:val="18"/>
              </w:rPr>
              <w:t>Conceitos</w:t>
            </w:r>
          </w:p>
        </w:tc>
        <w:tc>
          <w:tcPr>
            <w:tcW w:w="7370" w:type="dxa"/>
            <w:tcMar>
              <w:top w:w="80" w:type="dxa"/>
              <w:left w:w="80" w:type="dxa"/>
              <w:bottom w:w="80" w:type="dxa"/>
              <w:right w:w="80" w:type="dxa"/>
            </w:tcMar>
            <w:vAlign w:val="top"/>
          </w:tcPr>
          <w:p w14:paraId="53ECA641">
            <w:pPr>
              <w:spacing w:after="0" w:line="240" w:lineRule="auto" w:before="0"/>
              <w:jc w:val="left"/>
            </w:pPr>
            <w:r>
              <w:rPr>
                <w:rFonts w:ascii="Times New Roman" w:hAnsi="Times New Roman"/>
                <w:sz w:val="18"/>
              </w:rPr>
              <w:t>Cada conceito central possui definição, fontes e justificativa dimensional?</w:t>
            </w:r>
          </w:p>
        </w:tc>
      </w:tr>
      <w:tr w14:paraId="57322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cantSplit/>
        </w:trPr>
        <w:tc>
          <w:tcPr>
            <w:tcW w:w="2268" w:type="dxa"/>
            <w:tcMar>
              <w:top w:w="80" w:type="dxa"/>
              <w:left w:w="80" w:type="dxa"/>
              <w:bottom w:w="80" w:type="dxa"/>
              <w:right w:w="80" w:type="dxa"/>
            </w:tcMar>
            <w:vAlign w:val="top"/>
          </w:tcPr>
          <w:p w14:paraId="3F3C8737">
            <w:pPr>
              <w:spacing w:after="0" w:line="240" w:lineRule="auto" w:before="0"/>
              <w:jc w:val="left"/>
            </w:pPr>
            <w:r>
              <w:rPr>
                <w:rFonts w:ascii="Times New Roman" w:hAnsi="Times New Roman"/>
                <w:sz w:val="18"/>
              </w:rPr>
              <w:t>Brasil</w:t>
            </w:r>
          </w:p>
        </w:tc>
        <w:tc>
          <w:tcPr>
            <w:tcW w:w="7370" w:type="dxa"/>
            <w:tcMar>
              <w:top w:w="80" w:type="dxa"/>
              <w:left w:w="80" w:type="dxa"/>
              <w:bottom w:w="80" w:type="dxa"/>
              <w:right w:w="80" w:type="dxa"/>
            </w:tcMar>
            <w:vAlign w:val="top"/>
          </w:tcPr>
          <w:p w14:paraId="047F5FEA">
            <w:pPr>
              <w:spacing w:after="0" w:line="240" w:lineRule="auto" w:before="0"/>
              <w:jc w:val="left"/>
            </w:pPr>
            <w:r>
              <w:rPr>
                <w:rFonts w:ascii="Times New Roman" w:hAnsi="Times New Roman"/>
                <w:sz w:val="18"/>
              </w:rPr>
              <w:t>Termos importados foram contextualizados ao uso brasileiro?</w:t>
            </w:r>
          </w:p>
        </w:tc>
      </w:tr>
      <w:tr w14:paraId="4B623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cantSplit/>
        </w:trPr>
        <w:tc>
          <w:tcPr>
            <w:tcW w:w="2268" w:type="dxa"/>
            <w:tcMar>
              <w:top w:w="80" w:type="dxa"/>
              <w:left w:w="80" w:type="dxa"/>
              <w:bottom w:w="80" w:type="dxa"/>
              <w:right w:w="80" w:type="dxa"/>
            </w:tcMar>
            <w:vAlign w:val="top"/>
          </w:tcPr>
          <w:p w14:paraId="3B162108">
            <w:pPr>
              <w:spacing w:after="0" w:line="240" w:lineRule="auto" w:before="0"/>
              <w:jc w:val="left"/>
            </w:pPr>
            <w:r>
              <w:rPr>
                <w:rFonts w:ascii="Times New Roman" w:hAnsi="Times New Roman"/>
                <w:sz w:val="18"/>
              </w:rPr>
              <w:t>Sobreposições</w:t>
            </w:r>
          </w:p>
        </w:tc>
        <w:tc>
          <w:tcPr>
            <w:tcW w:w="7370" w:type="dxa"/>
            <w:tcMar>
              <w:top w:w="80" w:type="dxa"/>
              <w:left w:w="80" w:type="dxa"/>
              <w:bottom w:w="80" w:type="dxa"/>
              <w:right w:w="80" w:type="dxa"/>
            </w:tcMar>
            <w:vAlign w:val="top"/>
          </w:tcPr>
          <w:p w14:paraId="1F131094">
            <w:pPr>
              <w:spacing w:after="0" w:line="240" w:lineRule="auto" w:before="0"/>
              <w:jc w:val="left"/>
            </w:pPr>
            <w:r>
              <w:rPr>
                <w:rFonts w:ascii="Times New Roman" w:hAnsi="Times New Roman"/>
                <w:sz w:val="18"/>
              </w:rPr>
              <w:t>As categorias cumulativas estão explicitadas, evitando falsas exclusões?</w:t>
            </w:r>
          </w:p>
        </w:tc>
      </w:tr>
      <w:tr w14:paraId="2B257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cantSplit/>
        </w:trPr>
        <w:tc>
          <w:tcPr>
            <w:tcW w:w="2268" w:type="dxa"/>
            <w:tcMar>
              <w:top w:w="80" w:type="dxa"/>
              <w:left w:w="80" w:type="dxa"/>
              <w:bottom w:w="80" w:type="dxa"/>
              <w:right w:w="80" w:type="dxa"/>
            </w:tcMar>
            <w:vAlign w:val="top"/>
          </w:tcPr>
          <w:p w14:paraId="36E1AF22">
            <w:pPr>
              <w:spacing w:after="0" w:line="240" w:lineRule="auto" w:before="0"/>
              <w:jc w:val="left"/>
            </w:pPr>
            <w:r>
              <w:rPr>
                <w:rFonts w:ascii="Times New Roman" w:hAnsi="Times New Roman"/>
                <w:sz w:val="18"/>
              </w:rPr>
              <w:t>Publicidade</w:t>
            </w:r>
          </w:p>
        </w:tc>
        <w:tc>
          <w:tcPr>
            <w:tcW w:w="7370" w:type="dxa"/>
            <w:tcMar>
              <w:top w:w="80" w:type="dxa"/>
              <w:left w:w="80" w:type="dxa"/>
              <w:bottom w:w="80" w:type="dxa"/>
              <w:right w:w="80" w:type="dxa"/>
            </w:tcMar>
            <w:vAlign w:val="top"/>
          </w:tcPr>
          <w:p w14:paraId="0E8DB6DC">
            <w:pPr>
              <w:spacing w:after="0" w:line="240" w:lineRule="auto" w:before="0"/>
              <w:jc w:val="left"/>
            </w:pPr>
            <w:r>
              <w:rPr>
                <w:rFonts w:ascii="Times New Roman" w:hAnsi="Times New Roman"/>
                <w:sz w:val="18"/>
              </w:rPr>
              <w:t>Relações econômicas e deveres de transparência estão descritos sem transformar o Guia em parecer jurídico?</w:t>
            </w:r>
          </w:p>
        </w:tc>
      </w:tr>
      <w:tr w14:paraId="435F2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cantSplit/>
        </w:trPr>
        <w:tc>
          <w:tcPr>
            <w:tcW w:w="2268" w:type="dxa"/>
            <w:tcMar>
              <w:top w:w="80" w:type="dxa"/>
              <w:left w:w="80" w:type="dxa"/>
              <w:bottom w:w="80" w:type="dxa"/>
              <w:right w:w="80" w:type="dxa"/>
            </w:tcMar>
            <w:vAlign w:val="top"/>
          </w:tcPr>
          <w:p w14:paraId="519B27A3">
            <w:pPr>
              <w:spacing w:after="0" w:line="240" w:lineRule="auto" w:before="0"/>
              <w:jc w:val="left"/>
            </w:pPr>
            <w:r>
              <w:rPr>
                <w:rFonts w:ascii="Times New Roman" w:hAnsi="Times New Roman"/>
                <w:sz w:val="18"/>
              </w:rPr>
              <w:t>IA</w:t>
            </w:r>
          </w:p>
        </w:tc>
        <w:tc>
          <w:tcPr>
            <w:tcW w:w="7370" w:type="dxa"/>
            <w:tcMar>
              <w:top w:w="80" w:type="dxa"/>
              <w:left w:w="80" w:type="dxa"/>
              <w:bottom w:w="80" w:type="dxa"/>
              <w:right w:w="80" w:type="dxa"/>
            </w:tcMar>
            <w:vAlign w:val="top"/>
          </w:tcPr>
          <w:p w14:paraId="320851A7">
            <w:pPr>
              <w:spacing w:after="0" w:line="240" w:lineRule="auto" w:before="0"/>
              <w:jc w:val="left"/>
            </w:pPr>
            <w:r>
              <w:rPr>
                <w:rFonts w:ascii="Times New Roman" w:hAnsi="Times New Roman"/>
                <w:sz w:val="18"/>
              </w:rPr>
              <w:t>Conteúdo sintético, virtual influencers e disclosure estão atualizados até a data de fechamento?</w:t>
            </w:r>
          </w:p>
        </w:tc>
      </w:tr>
      <w:tr w14:paraId="511FE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cantSplit/>
        </w:trPr>
        <w:tc>
          <w:tcPr>
            <w:tcW w:w="2268" w:type="dxa"/>
            <w:tcMar>
              <w:top w:w="80" w:type="dxa"/>
              <w:left w:w="80" w:type="dxa"/>
              <w:bottom w:w="80" w:type="dxa"/>
              <w:right w:w="80" w:type="dxa"/>
            </w:tcMar>
            <w:vAlign w:val="top"/>
          </w:tcPr>
          <w:p w14:paraId="0FD4EB91">
            <w:pPr>
              <w:spacing w:after="0" w:line="240" w:lineRule="auto" w:before="0"/>
              <w:jc w:val="left"/>
            </w:pPr>
            <w:r>
              <w:rPr>
                <w:rFonts w:ascii="Times New Roman" w:hAnsi="Times New Roman"/>
                <w:sz w:val="18"/>
              </w:rPr>
              <w:t>Mensuração</w:t>
            </w:r>
          </w:p>
        </w:tc>
        <w:tc>
          <w:tcPr>
            <w:tcW w:w="7370" w:type="dxa"/>
            <w:tcMar>
              <w:top w:w="80" w:type="dxa"/>
              <w:left w:w="80" w:type="dxa"/>
              <w:bottom w:w="80" w:type="dxa"/>
              <w:right w:w="80" w:type="dxa"/>
            </w:tcMar>
            <w:vAlign w:val="top"/>
          </w:tcPr>
          <w:p w14:paraId="22C84EA5">
            <w:pPr>
              <w:spacing w:after="0" w:line="240" w:lineRule="auto" w:before="0"/>
              <w:jc w:val="left"/>
            </w:pPr>
            <w:r>
              <w:rPr>
                <w:rFonts w:ascii="Times New Roman" w:hAnsi="Times New Roman"/>
                <w:sz w:val="18"/>
              </w:rPr>
              <w:t>Audiência, influência, conversão e receita estão diferenciadas?</w:t>
            </w:r>
          </w:p>
        </w:tc>
      </w:tr>
      <w:tr w14:paraId="4CD94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cantSplit/>
        </w:trPr>
        <w:tc>
          <w:tcPr>
            <w:tcW w:w="2268" w:type="dxa"/>
            <w:tcMar>
              <w:top w:w="80" w:type="dxa"/>
              <w:left w:w="80" w:type="dxa"/>
              <w:bottom w:w="80" w:type="dxa"/>
              <w:right w:w="80" w:type="dxa"/>
            </w:tcMar>
            <w:vAlign w:val="top"/>
          </w:tcPr>
          <w:p w14:paraId="4936E1AC">
            <w:pPr>
              <w:spacing w:after="0" w:line="240" w:lineRule="auto" w:before="0"/>
              <w:jc w:val="left"/>
            </w:pPr>
            <w:r>
              <w:rPr>
                <w:rFonts w:ascii="Times New Roman" w:hAnsi="Times New Roman"/>
                <w:sz w:val="18"/>
              </w:rPr>
              <w:t>Infância</w:t>
            </w:r>
          </w:p>
        </w:tc>
        <w:tc>
          <w:tcPr>
            <w:tcW w:w="7370" w:type="dxa"/>
            <w:tcMar>
              <w:top w:w="80" w:type="dxa"/>
              <w:left w:w="80" w:type="dxa"/>
              <w:bottom w:w="80" w:type="dxa"/>
              <w:right w:w="80" w:type="dxa"/>
            </w:tcMar>
            <w:vAlign w:val="top"/>
          </w:tcPr>
          <w:p w14:paraId="0E6907EC">
            <w:pPr>
              <w:spacing w:after="0" w:line="240" w:lineRule="auto" w:before="0"/>
              <w:jc w:val="left"/>
            </w:pPr>
            <w:r>
              <w:rPr>
                <w:rFonts w:ascii="Times New Roman" w:hAnsi="Times New Roman"/>
                <w:sz w:val="18"/>
              </w:rPr>
              <w:t>Referências a crianças e adolescentes possuem salvaguardas e linguagem apropriada?</w:t>
            </w:r>
          </w:p>
        </w:tc>
      </w:tr>
      <w:tr w14:paraId="27CF9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cantSplit/>
        </w:trPr>
        <w:tc>
          <w:tcPr>
            <w:tcW w:w="2268" w:type="dxa"/>
            <w:tcMar>
              <w:top w:w="80" w:type="dxa"/>
              <w:left w:w="80" w:type="dxa"/>
              <w:bottom w:w="80" w:type="dxa"/>
              <w:right w:w="80" w:type="dxa"/>
            </w:tcMar>
            <w:vAlign w:val="top"/>
          </w:tcPr>
          <w:p w14:paraId="10CC5231">
            <w:pPr>
              <w:spacing w:after="0" w:line="240" w:lineRule="auto" w:before="0"/>
              <w:jc w:val="left"/>
            </w:pPr>
            <w:r>
              <w:rPr>
                <w:rFonts w:ascii="Times New Roman" w:hAnsi="Times New Roman"/>
                <w:sz w:val="18"/>
              </w:rPr>
              <w:t>Visualização</w:t>
            </w:r>
          </w:p>
        </w:tc>
        <w:tc>
          <w:tcPr>
            <w:tcW w:w="7370" w:type="dxa"/>
            <w:tcMar>
              <w:top w:w="80" w:type="dxa"/>
              <w:left w:w="80" w:type="dxa"/>
              <w:bottom w:w="80" w:type="dxa"/>
              <w:right w:w="80" w:type="dxa"/>
            </w:tcMar>
            <w:vAlign w:val="top"/>
          </w:tcPr>
          <w:p w14:paraId="574F980A">
            <w:pPr>
              <w:spacing w:after="0" w:line="240" w:lineRule="auto" w:before="0"/>
              <w:jc w:val="left"/>
            </w:pPr>
            <w:r>
              <w:rPr>
                <w:rFonts w:ascii="Times New Roman" w:hAnsi="Times New Roman"/>
                <w:sz w:val="18"/>
              </w:rPr>
              <w:t>Cada figura ou quadro cumpre função analítica e não apenas decorativa?</w:t>
            </w:r>
          </w:p>
        </w:tc>
      </w:tr>
      <w:tr w14:paraId="391C6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cantSplit/>
        </w:trPr>
        <w:tc>
          <w:tcPr>
            <w:tcW w:w="2268" w:type="dxa"/>
            <w:tcMar>
              <w:top w:w="80" w:type="dxa"/>
              <w:left w:w="80" w:type="dxa"/>
              <w:bottom w:w="80" w:type="dxa"/>
              <w:right w:w="80" w:type="dxa"/>
            </w:tcMar>
            <w:vAlign w:val="top"/>
          </w:tcPr>
          <w:p w14:paraId="2DAF762C">
            <w:pPr>
              <w:spacing w:after="0" w:line="240" w:lineRule="auto" w:before="0"/>
              <w:jc w:val="left"/>
            </w:pPr>
            <w:r>
              <w:rPr>
                <w:rFonts w:ascii="Times New Roman" w:hAnsi="Times New Roman"/>
                <w:sz w:val="18"/>
              </w:rPr>
              <w:t>Consistência</w:t>
            </w:r>
          </w:p>
        </w:tc>
        <w:tc>
          <w:tcPr>
            <w:tcW w:w="7370" w:type="dxa"/>
            <w:tcMar>
              <w:top w:w="80" w:type="dxa"/>
              <w:left w:w="80" w:type="dxa"/>
              <w:bottom w:w="80" w:type="dxa"/>
              <w:right w:w="80" w:type="dxa"/>
            </w:tcMar>
            <w:vAlign w:val="top"/>
          </w:tcPr>
          <w:p w14:paraId="06A2C9D9">
            <w:pPr>
              <w:spacing w:after="0" w:line="240" w:lineRule="auto" w:before="0"/>
              <w:jc w:val="left"/>
            </w:pPr>
            <w:r>
              <w:rPr>
                <w:rFonts w:ascii="Times New Roman" w:hAnsi="Times New Roman"/>
                <w:sz w:val="18"/>
              </w:rPr>
              <w:t>Não há contradições entre artigo, Guia, glossário e mapa-síntese?</w:t>
            </w:r>
          </w:p>
        </w:tc>
      </w:tr>
      <w:tr w14:paraId="7AC90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cantSplit/>
        </w:trPr>
        <w:tc>
          <w:tcPr>
            <w:tcW w:w="2268" w:type="dxa"/>
            <w:tcMar>
              <w:top w:w="80" w:type="dxa"/>
              <w:left w:w="80" w:type="dxa"/>
              <w:bottom w:w="80" w:type="dxa"/>
              <w:right w:w="80" w:type="dxa"/>
            </w:tcMar>
            <w:vAlign w:val="top"/>
          </w:tcPr>
          <w:p w14:paraId="604AC754">
            <w:pPr>
              <w:spacing w:after="0" w:line="240" w:lineRule="auto" w:before="0"/>
              <w:jc w:val="left"/>
            </w:pPr>
            <w:r>
              <w:rPr>
                <w:rFonts w:ascii="Times New Roman" w:hAnsi="Times New Roman"/>
                <w:sz w:val="18"/>
              </w:rPr>
              <w:t>ABNT</w:t>
            </w:r>
          </w:p>
        </w:tc>
        <w:tc>
          <w:tcPr>
            <w:tcW w:w="7370" w:type="dxa"/>
            <w:tcMar>
              <w:top w:w="80" w:type="dxa"/>
              <w:left w:w="80" w:type="dxa"/>
              <w:bottom w:w="80" w:type="dxa"/>
              <w:right w:w="80" w:type="dxa"/>
            </w:tcMar>
            <w:vAlign w:val="top"/>
          </w:tcPr>
          <w:p w14:paraId="3B5F6916">
            <w:pPr>
              <w:spacing w:after="0" w:line="240" w:lineRule="auto" w:before="0"/>
              <w:jc w:val="left"/>
            </w:pPr>
            <w:r>
              <w:rPr>
                <w:rFonts w:ascii="Times New Roman" w:hAnsi="Times New Roman"/>
                <w:sz w:val="18"/>
              </w:rPr>
              <w:t>Citações, referências, resumo, palavras-chave, margens e estrutura foram revisados?</w:t>
            </w:r>
          </w:p>
        </w:tc>
      </w:tr>
      <w:tr w14:paraId="76C99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cantSplit/>
        </w:trPr>
        <w:tc>
          <w:tcPr>
            <w:tcW w:w="2268" w:type="dxa"/>
            <w:tcMar>
              <w:top w:w="80" w:type="dxa"/>
              <w:left w:w="80" w:type="dxa"/>
              <w:bottom w:w="80" w:type="dxa"/>
              <w:right w:w="80" w:type="dxa"/>
            </w:tcMar>
            <w:vAlign w:val="top"/>
          </w:tcPr>
          <w:p w14:paraId="06880212">
            <w:pPr>
              <w:spacing w:after="0" w:line="240" w:lineRule="auto" w:before="0"/>
              <w:jc w:val="left"/>
            </w:pPr>
            <w:r>
              <w:rPr>
                <w:rFonts w:ascii="Times New Roman" w:hAnsi="Times New Roman"/>
                <w:sz w:val="18"/>
              </w:rPr>
              <w:t>Versão</w:t>
            </w:r>
          </w:p>
        </w:tc>
        <w:tc>
          <w:tcPr>
            <w:tcW w:w="7370" w:type="dxa"/>
            <w:tcMar>
              <w:top w:w="80" w:type="dxa"/>
              <w:left w:w="80" w:type="dxa"/>
              <w:bottom w:w="80" w:type="dxa"/>
              <w:right w:w="80" w:type="dxa"/>
            </w:tcMar>
            <w:vAlign w:val="top"/>
          </w:tcPr>
          <w:p w14:paraId="5A700C93">
            <w:pPr>
              <w:spacing w:after="0" w:line="240" w:lineRule="auto" w:before="0"/>
              <w:jc w:val="left"/>
            </w:pPr>
            <w:r>
              <w:rPr>
                <w:rFonts w:ascii="Times New Roman" w:hAnsi="Times New Roman"/>
                <w:sz w:val="18"/>
              </w:rPr>
              <w:t>O documento final possui identificação inequívoca de versão e data?</w:t>
            </w:r>
          </w:p>
        </w:tc>
      </w:tr>
      <w:tr w14:paraId="6DC4A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cantSplit/>
        </w:trPr>
        <w:tc>
          <w:tcPr>
            <w:tcW w:w="2268" w:type="dxa"/>
            <w:tcMar>
              <w:top w:w="80" w:type="dxa"/>
              <w:left w:w="80" w:type="dxa"/>
              <w:bottom w:w="80" w:type="dxa"/>
              <w:right w:w="80" w:type="dxa"/>
            </w:tcMar>
            <w:vAlign w:val="top"/>
          </w:tcPr>
          <w:p w14:paraId="23447683">
            <w:pPr>
              <w:spacing w:after="0" w:line="240" w:lineRule="auto" w:before="0"/>
              <w:jc w:val="left"/>
              <w:keepNext w:val="1"/>
            </w:pPr>
            <w:r>
              <w:rPr>
                <w:rFonts w:ascii="Times New Roman" w:hAnsi="Times New Roman"/>
                <w:sz w:val="18"/>
              </w:rPr>
              <w:t>Publicação</w:t>
            </w:r>
          </w:p>
        </w:tc>
        <w:tc>
          <w:tcPr>
            <w:tcW w:w="7370" w:type="dxa"/>
            <w:tcMar>
              <w:top w:w="80" w:type="dxa"/>
              <w:left w:w="80" w:type="dxa"/>
              <w:bottom w:w="80" w:type="dxa"/>
              <w:right w:w="80" w:type="dxa"/>
            </w:tcMar>
            <w:vAlign w:val="top"/>
          </w:tcPr>
          <w:p w14:paraId="1C94A048">
            <w:pPr>
              <w:spacing w:after="0" w:line="240" w:lineRule="auto" w:before="0"/>
              <w:jc w:val="left"/>
              <w:keepNext w:val="1"/>
            </w:pPr>
            <w:r>
              <w:rPr>
                <w:rFonts w:ascii="Times New Roman" w:hAnsi="Times New Roman"/>
                <w:sz w:val="18"/>
              </w:rPr>
              <w:t>Links, QR Codes e arquivos disponibilizados ao público foram testados?</w:t>
            </w:r>
          </w:p>
        </w:tc>
      </w:tr>
    </w:tbl>
    <w:p w14:paraId="152B3BAB">
      <w:pPr>
        <w:keepNext w:val="0"/>
        <w:spacing w:after="0" w:before="40" w:line="240" w:lineRule="auto"/>
        <w:jc w:val="center"/>
      </w:pPr>
      <w:r>
        <w:rPr>
          <w:rFonts w:ascii="Times New Roman" w:hAnsi="Times New Roman"/>
          <w:i/>
          <w:sz w:val="20"/>
        </w:rPr>
        <w:t>Quadro C1 - Checklist de encerramento científico, editorial e documental. Fonte: elaboração própria.</w:t>
      </w:r>
    </w:p>
    <w:p>
      <w:pPr>
        <w:pStyle w:val="2"/>
        <w:pageBreakBefore/>
        <w:jc w:val="left"/>
      </w:pPr>
      <w:r>
        <w:t>APÊNDICE D - MATRIZ DE RASTREABILIDADE DAS FONTES R1-R22</w:t>
      </w:r>
    </w:p>
    <w:p>
      <w:pPr>
        <w:jc w:val="both"/>
      </w:pPr>
      <w:r>
        <w:t>A matriz abaixo fecha a rastreabilidade entre a bibliografia-base do roteiro do Guia e a versão técnico-científica v1.0. Cada código R1-R22 está vinculado a uma função analítica, às seções em que sua contribuição foi incorporada e a uma entrada bibliográfica identificável na lista de referências. O fechamento documental não converte fontes setoriais em validação empírica primária da taxonomia; sua função é garantir auditabilidade, triangulação e transparência de origem.</w:t>
      </w:r>
    </w:p>
    <w:tbl>
      <w:tblPr>
        <w:tblStyle w:val="36"/>
        <w:tblW w:type="auto" w:w="0"/>
        <w:jc w:val="center"/>
        <w:tblLook w:firstColumn="1" w:firstRow="1" w:lastColumn="0" w:lastRow="0" w:noHBand="0" w:noVBand="1" w:val="04A0"/>
      </w:tblPr>
      <w:tblGrid>
        <w:gridCol w:w="2351"/>
        <w:gridCol w:w="2351"/>
        <w:gridCol w:w="2351"/>
        <w:gridCol w:w="2351"/>
      </w:tblGrid>
      <w:tr>
        <w:trPr>
          <w:cantSplit/>
        </w:trPr>
        <w:tc>
          <w:tcPr>
            <w:tcW w:type="dxa" w:w="567"/>
            <w:shd w:fill="D9E2F3"/>
            <w:vAlign w:val="center"/>
            <w:tcMar>
              <w:top w:w="70" w:type="dxa"/>
              <w:start w:w="70" w:type="dxa"/>
              <w:bottom w:w="70" w:type="dxa"/>
              <w:end w:w="70" w:type="dxa"/>
            </w:tcMar>
          </w:tcPr>
          <w:p>
            <w:pPr>
              <w:jc w:val="center"/>
            </w:pPr>
            <w:r>
              <w:rPr>
                <w:b/>
                <w:sz w:val="17"/>
              </w:rPr>
              <w:t>Código</w:t>
            </w:r>
          </w:p>
        </w:tc>
        <w:tc>
          <w:tcPr>
            <w:tcW w:type="dxa" w:w="2835"/>
            <w:shd w:fill="D9E2F3"/>
            <w:vAlign w:val="center"/>
            <w:tcMar>
              <w:top w:w="70" w:type="dxa"/>
              <w:start w:w="70" w:type="dxa"/>
              <w:bottom w:w="70" w:type="dxa"/>
              <w:end w:w="70" w:type="dxa"/>
            </w:tcMar>
          </w:tcPr>
          <w:p>
            <w:pPr>
              <w:jc w:val="center"/>
            </w:pPr>
            <w:r>
              <w:rPr>
                <w:b/>
                <w:sz w:val="17"/>
              </w:rPr>
              <w:t>Fonte-base</w:t>
            </w:r>
          </w:p>
        </w:tc>
        <w:tc>
          <w:tcPr>
            <w:tcW w:type="dxa" w:w="3231"/>
            <w:shd w:fill="D9E2F3"/>
            <w:vAlign w:val="center"/>
            <w:tcMar>
              <w:top w:w="70" w:type="dxa"/>
              <w:start w:w="70" w:type="dxa"/>
              <w:bottom w:w="70" w:type="dxa"/>
              <w:end w:w="70" w:type="dxa"/>
            </w:tcMar>
          </w:tcPr>
          <w:p>
            <w:pPr>
              <w:jc w:val="center"/>
            </w:pPr>
            <w:r>
              <w:rPr>
                <w:b/>
                <w:sz w:val="17"/>
              </w:rPr>
              <w:t>Função na pesquisa</w:t>
            </w:r>
          </w:p>
        </w:tc>
        <w:tc>
          <w:tcPr>
            <w:tcW w:type="dxa" w:w="2721"/>
            <w:shd w:fill="D9E2F3"/>
            <w:vAlign w:val="center"/>
            <w:tcMar>
              <w:top w:w="70" w:type="dxa"/>
              <w:start w:w="70" w:type="dxa"/>
              <w:bottom w:w="70" w:type="dxa"/>
              <w:end w:w="70" w:type="dxa"/>
            </w:tcMar>
          </w:tcPr>
          <w:p>
            <w:pPr>
              <w:jc w:val="center"/>
            </w:pPr>
            <w:r>
              <w:rPr>
                <w:b/>
                <w:sz w:val="17"/>
              </w:rPr>
              <w:t>Seções / fechamento</w:t>
            </w:r>
          </w:p>
        </w:tc>
      </w:tr>
      <w:tr>
        <w:trPr>
          <w:cantSplit/>
        </w:trPr>
        <w:tc>
          <w:tcPr>
            <w:tcW w:type="dxa" w:w="567"/>
            <w:vAlign w:val="top"/>
            <w:tcMar>
              <w:top w:w="70" w:type="dxa"/>
              <w:start w:w="70" w:type="dxa"/>
              <w:bottom w:w="70" w:type="dxa"/>
              <w:end w:w="70" w:type="dxa"/>
            </w:tcMar>
          </w:tcPr>
          <w:p>
            <w:pPr>
              <w:spacing w:after="0" w:line="240" w:lineRule="auto"/>
              <w:jc w:val="center"/>
            </w:pPr>
            <w:r>
              <w:rPr>
                <w:rFonts w:ascii="Times New Roman" w:hAnsi="Times New Roman"/>
                <w:b/>
                <w:sz w:val="16"/>
              </w:rPr>
              <w:t>R1</w:t>
            </w:r>
          </w:p>
        </w:tc>
        <w:tc>
          <w:tcPr>
            <w:tcW w:type="dxa" w:w="2835"/>
            <w:vAlign w:val="top"/>
            <w:tcMar>
              <w:top w:w="70" w:type="dxa"/>
              <w:start w:w="70" w:type="dxa"/>
              <w:bottom w:w="70" w:type="dxa"/>
              <w:end w:w="70" w:type="dxa"/>
            </w:tcMar>
          </w:tcPr>
          <w:p>
            <w:pPr>
              <w:spacing w:after="0" w:line="240" w:lineRule="auto"/>
            </w:pPr>
            <w:r>
              <w:rPr>
                <w:rFonts w:ascii="Times New Roman" w:hAnsi="Times New Roman"/>
                <w:sz w:val="16"/>
              </w:rPr>
              <w:t xml:space="preserve">IAB. Economia da criação de conteúdo: definições e taxonomia [título traduzido] (2025).</w:t>
            </w:r>
          </w:p>
        </w:tc>
        <w:tc>
          <w:tcPr>
            <w:tcW w:type="dxa" w:w="3231"/>
            <w:vAlign w:val="top"/>
            <w:tcMar>
              <w:top w:w="70" w:type="dxa"/>
              <w:start w:w="70" w:type="dxa"/>
              <w:bottom w:w="70" w:type="dxa"/>
              <w:end w:w="70" w:type="dxa"/>
            </w:tcMar>
          </w:tcPr>
          <w:p>
            <w:pPr>
              <w:spacing w:after="0" w:line="240" w:lineRule="auto"/>
            </w:pPr>
            <w:r>
              <w:rPr>
                <w:rFonts w:ascii="Times New Roman" w:hAnsi="Times New Roman"/>
                <w:sz w:val="16"/>
              </w:rPr>
              <w:t>Vocabulário estruturante, categorias, relações comerciais e terminologia.</w:t>
            </w:r>
          </w:p>
        </w:tc>
        <w:tc>
          <w:tcPr>
            <w:tcW w:type="dxa" w:w="2721"/>
            <w:vAlign w:val="top"/>
            <w:tcMar>
              <w:top w:w="70" w:type="dxa"/>
              <w:start w:w="70" w:type="dxa"/>
              <w:bottom w:w="70" w:type="dxa"/>
              <w:end w:w="70" w:type="dxa"/>
            </w:tcMar>
          </w:tcPr>
          <w:p>
            <w:pPr>
              <w:spacing w:after="0" w:line="240" w:lineRule="auto"/>
            </w:pPr>
            <w:r>
              <w:rPr>
                <w:rFonts w:ascii="Times New Roman" w:hAnsi="Times New Roman"/>
                <w:sz w:val="16"/>
              </w:rPr>
              <w:t>1; 3; 5; 6.1 — incorporada e citada.</w:t>
            </w:r>
          </w:p>
        </w:tc>
      </w:tr>
      <w:tr>
        <w:trPr>
          <w:cantSplit/>
        </w:trPr>
        <w:tc>
          <w:tcPr>
            <w:tcW w:type="dxa" w:w="567"/>
            <w:vAlign w:val="top"/>
            <w:tcMar>
              <w:top w:w="70" w:type="dxa"/>
              <w:start w:w="70" w:type="dxa"/>
              <w:bottom w:w="70" w:type="dxa"/>
              <w:end w:w="70" w:type="dxa"/>
            </w:tcMar>
          </w:tcPr>
          <w:p>
            <w:pPr>
              <w:spacing w:after="0" w:line="240" w:lineRule="auto"/>
              <w:jc w:val="center"/>
            </w:pPr>
            <w:r>
              <w:rPr>
                <w:rFonts w:ascii="Times New Roman" w:hAnsi="Times New Roman"/>
                <w:b/>
                <w:sz w:val="16"/>
              </w:rPr>
              <w:t>R2</w:t>
            </w:r>
          </w:p>
        </w:tc>
        <w:tc>
          <w:tcPr>
            <w:tcW w:type="dxa" w:w="2835"/>
            <w:vAlign w:val="top"/>
            <w:tcMar>
              <w:top w:w="70" w:type="dxa"/>
              <w:start w:w="70" w:type="dxa"/>
              <w:bottom w:w="70" w:type="dxa"/>
              <w:end w:w="70" w:type="dxa"/>
            </w:tcMar>
          </w:tcPr>
          <w:p>
            <w:pPr>
              <w:spacing w:after="0" w:line="240" w:lineRule="auto"/>
            </w:pPr>
            <w:r>
              <w:rPr>
                <w:rFonts w:ascii="Times New Roman" w:hAnsi="Times New Roman"/>
                <w:sz w:val="16"/>
              </w:rPr>
              <w:t xml:space="preserve">IAB. Mapa do ecossistema da economia da criação de conteúdo [título traduzido] (versão final 25 fev. 2025).</w:t>
            </w:r>
          </w:p>
        </w:tc>
        <w:tc>
          <w:tcPr>
            <w:tcW w:type="dxa" w:w="3231"/>
            <w:vAlign w:val="top"/>
            <w:tcMar>
              <w:top w:w="70" w:type="dxa"/>
              <w:start w:w="70" w:type="dxa"/>
              <w:bottom w:w="70" w:type="dxa"/>
              <w:end w:w="70" w:type="dxa"/>
            </w:tcMar>
          </w:tcPr>
          <w:p>
            <w:pPr>
              <w:spacing w:after="0" w:line="240" w:lineRule="auto"/>
            </w:pPr>
            <w:r>
              <w:rPr>
                <w:rFonts w:ascii="Times New Roman" w:hAnsi="Times New Roman"/>
                <w:sz w:val="16"/>
              </w:rPr>
              <w:t>Arquitetura ecossistêmica, agentes, processos, intermediação e fluxos.</w:t>
            </w:r>
          </w:p>
        </w:tc>
        <w:tc>
          <w:tcPr>
            <w:tcW w:type="dxa" w:w="2721"/>
            <w:vAlign w:val="top"/>
            <w:tcMar>
              <w:top w:w="70" w:type="dxa"/>
              <w:start w:w="70" w:type="dxa"/>
              <w:bottom w:w="70" w:type="dxa"/>
              <w:end w:w="70" w:type="dxa"/>
            </w:tcMar>
          </w:tcPr>
          <w:p>
            <w:pPr>
              <w:spacing w:after="0" w:line="240" w:lineRule="auto"/>
            </w:pPr>
            <w:r>
              <w:rPr>
                <w:rFonts w:ascii="Times New Roman" w:hAnsi="Times New Roman"/>
                <w:sz w:val="16"/>
              </w:rPr>
              <w:t>1; 3.1; 3.4; 5.2; 6.1 — incorporada e citada.</w:t>
            </w:r>
          </w:p>
        </w:tc>
      </w:tr>
      <w:tr>
        <w:trPr>
          <w:cantSplit/>
        </w:trPr>
        <w:tc>
          <w:tcPr>
            <w:tcW w:type="dxa" w:w="567"/>
            <w:vAlign w:val="top"/>
            <w:tcMar>
              <w:top w:w="70" w:type="dxa"/>
              <w:start w:w="70" w:type="dxa"/>
              <w:bottom w:w="70" w:type="dxa"/>
              <w:end w:w="70" w:type="dxa"/>
            </w:tcMar>
          </w:tcPr>
          <w:p>
            <w:pPr>
              <w:spacing w:after="0" w:line="240" w:lineRule="auto"/>
              <w:jc w:val="center"/>
            </w:pPr>
            <w:r>
              <w:rPr>
                <w:rFonts w:ascii="Times New Roman" w:hAnsi="Times New Roman"/>
                <w:b/>
                <w:sz w:val="16"/>
              </w:rPr>
              <w:t>R3</w:t>
            </w:r>
          </w:p>
        </w:tc>
        <w:tc>
          <w:tcPr>
            <w:tcW w:type="dxa" w:w="2835"/>
            <w:vAlign w:val="top"/>
            <w:tcMar>
              <w:top w:w="70" w:type="dxa"/>
              <w:start w:w="70" w:type="dxa"/>
              <w:bottom w:w="70" w:type="dxa"/>
              <w:end w:w="70" w:type="dxa"/>
            </w:tcMar>
          </w:tcPr>
          <w:p>
            <w:pPr>
              <w:spacing w:after="0" w:line="240" w:lineRule="auto"/>
            </w:pPr>
            <w:r>
              <w:rPr>
                <w:rFonts w:ascii="Times New Roman" w:hAnsi="Times New Roman"/>
                <w:sz w:val="16"/>
              </w:rPr>
              <w:t xml:space="preserve">IAB Brasil. Mapa mental do ecossistema da economia da criação de conteúdo (2025).</w:t>
            </w:r>
          </w:p>
        </w:tc>
        <w:tc>
          <w:tcPr>
            <w:tcW w:type="dxa" w:w="3231"/>
            <w:vAlign w:val="top"/>
            <w:tcMar>
              <w:top w:w="70" w:type="dxa"/>
              <w:start w:w="70" w:type="dxa"/>
              <w:bottom w:w="70" w:type="dxa"/>
              <w:end w:w="70" w:type="dxa"/>
            </w:tcMar>
          </w:tcPr>
          <w:p>
            <w:pPr>
              <w:spacing w:after="0" w:line="240" w:lineRule="auto"/>
            </w:pPr>
            <w:r>
              <w:rPr>
                <w:rFonts w:ascii="Times New Roman" w:hAnsi="Times New Roman"/>
                <w:sz w:val="16"/>
              </w:rPr>
              <w:t>Adaptação/contextualização brasileira do mapa e linguagem setorial.</w:t>
            </w:r>
          </w:p>
        </w:tc>
        <w:tc>
          <w:tcPr>
            <w:tcW w:type="dxa" w:w="2721"/>
            <w:vAlign w:val="top"/>
            <w:tcMar>
              <w:top w:w="70" w:type="dxa"/>
              <w:start w:w="70" w:type="dxa"/>
              <w:bottom w:w="70" w:type="dxa"/>
              <w:end w:w="70" w:type="dxa"/>
            </w:tcMar>
          </w:tcPr>
          <w:p>
            <w:pPr>
              <w:spacing w:after="0" w:line="240" w:lineRule="auto"/>
            </w:pPr>
            <w:r>
              <w:rPr>
                <w:rFonts w:ascii="Times New Roman" w:hAnsi="Times New Roman"/>
                <w:sz w:val="16"/>
              </w:rPr>
              <w:t>1; 3.1; 4; 6.2 — incorporada e citada.</w:t>
            </w:r>
          </w:p>
        </w:tc>
      </w:tr>
      <w:tr>
        <w:trPr>
          <w:cantSplit/>
        </w:trPr>
        <w:tc>
          <w:tcPr>
            <w:tcW w:type="dxa" w:w="567"/>
            <w:vAlign w:val="top"/>
            <w:tcMar>
              <w:top w:w="70" w:type="dxa"/>
              <w:start w:w="70" w:type="dxa"/>
              <w:bottom w:w="70" w:type="dxa"/>
              <w:end w:w="70" w:type="dxa"/>
            </w:tcMar>
          </w:tcPr>
          <w:p>
            <w:pPr>
              <w:spacing w:after="0" w:line="240" w:lineRule="auto"/>
              <w:jc w:val="center"/>
            </w:pPr>
            <w:r>
              <w:rPr>
                <w:rFonts w:ascii="Times New Roman" w:hAnsi="Times New Roman"/>
                <w:b/>
                <w:sz w:val="16"/>
              </w:rPr>
              <w:t>R4</w:t>
            </w:r>
          </w:p>
        </w:tc>
        <w:tc>
          <w:tcPr>
            <w:tcW w:type="dxa" w:w="2835"/>
            <w:vAlign w:val="top"/>
            <w:tcMar>
              <w:top w:w="70" w:type="dxa"/>
              <w:start w:w="70" w:type="dxa"/>
              <w:bottom w:w="70" w:type="dxa"/>
              <w:end w:w="70" w:type="dxa"/>
            </w:tcMar>
          </w:tcPr>
          <w:p>
            <w:pPr>
              <w:spacing w:after="0" w:line="240" w:lineRule="auto"/>
            </w:pPr>
            <w:r>
              <w:rPr>
                <w:rFonts w:ascii="Times New Roman" w:hAnsi="Times New Roman"/>
                <w:sz w:val="16"/>
              </w:rPr>
              <w:t>IAB Brasil; Offerwise. Pesquisa #Publi 2025.</w:t>
            </w:r>
          </w:p>
        </w:tc>
        <w:tc>
          <w:tcPr>
            <w:tcW w:type="dxa" w:w="3231"/>
            <w:vAlign w:val="top"/>
            <w:tcMar>
              <w:top w:w="70" w:type="dxa"/>
              <w:start w:w="70" w:type="dxa"/>
              <w:bottom w:w="70" w:type="dxa"/>
              <w:end w:w="70" w:type="dxa"/>
            </w:tcMar>
          </w:tcPr>
          <w:p>
            <w:pPr>
              <w:spacing w:after="0" w:line="240" w:lineRule="auto"/>
            </w:pPr>
            <w:r>
              <w:rPr>
                <w:rFonts w:ascii="Times New Roman" w:hAnsi="Times New Roman"/>
                <w:sz w:val="16"/>
              </w:rPr>
              <w:t>Evidência empírica descritiva sobre autenticidade, confiança, influência e consumo.</w:t>
            </w:r>
          </w:p>
        </w:tc>
        <w:tc>
          <w:tcPr>
            <w:tcW w:type="dxa" w:w="2721"/>
            <w:vAlign w:val="top"/>
            <w:tcMar>
              <w:top w:w="70" w:type="dxa"/>
              <w:start w:w="70" w:type="dxa"/>
              <w:bottom w:w="70" w:type="dxa"/>
              <w:end w:w="70" w:type="dxa"/>
            </w:tcMar>
          </w:tcPr>
          <w:p>
            <w:pPr>
              <w:spacing w:after="0" w:line="240" w:lineRule="auto"/>
            </w:pPr>
            <w:r>
              <w:rPr>
                <w:rFonts w:ascii="Times New Roman" w:hAnsi="Times New Roman"/>
                <w:sz w:val="16"/>
              </w:rPr>
              <w:t>4.2; 6.2 — incorporada; 7 explicita limites.</w:t>
            </w:r>
          </w:p>
        </w:tc>
      </w:tr>
      <w:tr>
        <w:trPr>
          <w:cantSplit/>
        </w:trPr>
        <w:tc>
          <w:tcPr>
            <w:tcW w:type="dxa" w:w="567"/>
            <w:vAlign w:val="top"/>
            <w:tcMar>
              <w:top w:w="70" w:type="dxa"/>
              <w:start w:w="70" w:type="dxa"/>
              <w:bottom w:w="70" w:type="dxa"/>
              <w:end w:w="70" w:type="dxa"/>
            </w:tcMar>
          </w:tcPr>
          <w:p>
            <w:pPr>
              <w:spacing w:after="0" w:line="240" w:lineRule="auto"/>
              <w:jc w:val="center"/>
            </w:pPr>
            <w:r>
              <w:rPr>
                <w:rFonts w:ascii="Times New Roman" w:hAnsi="Times New Roman"/>
                <w:b/>
                <w:sz w:val="16"/>
              </w:rPr>
              <w:t>R5</w:t>
            </w:r>
          </w:p>
        </w:tc>
        <w:tc>
          <w:tcPr>
            <w:tcW w:type="dxa" w:w="2835"/>
            <w:vAlign w:val="top"/>
            <w:tcMar>
              <w:top w:w="70" w:type="dxa"/>
              <w:start w:w="70" w:type="dxa"/>
              <w:bottom w:w="70" w:type="dxa"/>
              <w:end w:w="70" w:type="dxa"/>
            </w:tcMar>
          </w:tcPr>
          <w:p>
            <w:pPr>
              <w:spacing w:after="0" w:line="240" w:lineRule="auto"/>
            </w:pPr>
            <w:r>
              <w:rPr>
                <w:rFonts w:ascii="Times New Roman" w:hAnsi="Times New Roman"/>
                <w:sz w:val="16"/>
              </w:rPr>
              <w:t>IAB Brasil; Offerwise. Pesquisa #Publi 2024.</w:t>
            </w:r>
          </w:p>
        </w:tc>
        <w:tc>
          <w:tcPr>
            <w:tcW w:type="dxa" w:w="3231"/>
            <w:vAlign w:val="top"/>
            <w:tcMar>
              <w:top w:w="70" w:type="dxa"/>
              <w:start w:w="70" w:type="dxa"/>
              <w:bottom w:w="70" w:type="dxa"/>
              <w:end w:w="70" w:type="dxa"/>
            </w:tcMar>
          </w:tcPr>
          <w:p>
            <w:pPr>
              <w:spacing w:after="0" w:line="240" w:lineRule="auto"/>
            </w:pPr>
            <w:r>
              <w:rPr>
                <w:rFonts w:ascii="Times New Roman" w:hAnsi="Times New Roman"/>
                <w:sz w:val="16"/>
              </w:rPr>
              <w:t>Evidência empírica descritiva sobre gerações, consumo de conteúdo e publis.</w:t>
            </w:r>
          </w:p>
        </w:tc>
        <w:tc>
          <w:tcPr>
            <w:tcW w:type="dxa" w:w="2721"/>
            <w:vAlign w:val="top"/>
            <w:tcMar>
              <w:top w:w="70" w:type="dxa"/>
              <w:start w:w="70" w:type="dxa"/>
              <w:bottom w:w="70" w:type="dxa"/>
              <w:end w:w="70" w:type="dxa"/>
            </w:tcMar>
          </w:tcPr>
          <w:p>
            <w:pPr>
              <w:spacing w:after="0" w:line="240" w:lineRule="auto"/>
            </w:pPr>
            <w:r>
              <w:rPr>
                <w:rFonts w:ascii="Times New Roman" w:hAnsi="Times New Roman"/>
                <w:sz w:val="16"/>
              </w:rPr>
              <w:t>4.2; 6.2 — incorporada; amostra de 1.500 respondentes registrada.</w:t>
            </w:r>
          </w:p>
        </w:tc>
      </w:tr>
      <w:tr>
        <w:trPr>
          <w:cantSplit/>
        </w:trPr>
        <w:tc>
          <w:tcPr>
            <w:tcW w:type="dxa" w:w="567"/>
            <w:vAlign w:val="top"/>
            <w:tcMar>
              <w:top w:w="70" w:type="dxa"/>
              <w:start w:w="70" w:type="dxa"/>
              <w:bottom w:w="70" w:type="dxa"/>
              <w:end w:w="70" w:type="dxa"/>
            </w:tcMar>
          </w:tcPr>
          <w:p>
            <w:pPr>
              <w:spacing w:after="0" w:line="240" w:lineRule="auto"/>
              <w:jc w:val="center"/>
            </w:pPr>
            <w:r>
              <w:rPr>
                <w:rFonts w:ascii="Times New Roman" w:hAnsi="Times New Roman"/>
                <w:b/>
                <w:sz w:val="16"/>
              </w:rPr>
              <w:t>R6</w:t>
            </w:r>
          </w:p>
        </w:tc>
        <w:tc>
          <w:tcPr>
            <w:tcW w:type="dxa" w:w="2835"/>
            <w:vAlign w:val="top"/>
            <w:tcMar>
              <w:top w:w="70" w:type="dxa"/>
              <w:start w:w="70" w:type="dxa"/>
              <w:bottom w:w="70" w:type="dxa"/>
              <w:end w:w="70" w:type="dxa"/>
            </w:tcMar>
          </w:tcPr>
          <w:p>
            <w:pPr>
              <w:spacing w:after="0" w:line="240" w:lineRule="auto"/>
            </w:pPr>
            <w:r>
              <w:rPr>
                <w:rFonts w:ascii="Times New Roman" w:hAnsi="Times New Roman"/>
                <w:sz w:val="16"/>
              </w:rPr>
              <w:t xml:space="preserve">IAB Brasil; Digital Favela. Publicidade digital na economia da criação de conteúdo (2024).</w:t>
            </w:r>
          </w:p>
        </w:tc>
        <w:tc>
          <w:tcPr>
            <w:tcW w:type="dxa" w:w="3231"/>
            <w:vAlign w:val="top"/>
            <w:tcMar>
              <w:top w:w="70" w:type="dxa"/>
              <w:start w:w="70" w:type="dxa"/>
              <w:bottom w:w="70" w:type="dxa"/>
              <w:end w:w="70" w:type="dxa"/>
            </w:tcMar>
          </w:tcPr>
          <w:p>
            <w:pPr>
              <w:spacing w:after="0" w:line="240" w:lineRule="auto"/>
            </w:pPr>
            <w:r>
              <w:rPr>
                <w:rFonts w:ascii="Times New Roman" w:hAnsi="Times New Roman"/>
                <w:sz w:val="16"/>
              </w:rPr>
              <w:t>Conteúdo editorial x comercial, publicidade, publis e transparência.</w:t>
            </w:r>
          </w:p>
        </w:tc>
        <w:tc>
          <w:tcPr>
            <w:tcW w:type="dxa" w:w="2721"/>
            <w:vAlign w:val="top"/>
            <w:tcMar>
              <w:top w:w="70" w:type="dxa"/>
              <w:start w:w="70" w:type="dxa"/>
              <w:bottom w:w="70" w:type="dxa"/>
              <w:end w:w="70" w:type="dxa"/>
            </w:tcMar>
          </w:tcPr>
          <w:p>
            <w:pPr>
              <w:spacing w:after="0" w:line="240" w:lineRule="auto"/>
            </w:pPr>
            <w:r>
              <w:rPr>
                <w:rFonts w:ascii="Times New Roman" w:hAnsi="Times New Roman"/>
                <w:sz w:val="16"/>
              </w:rPr>
              <w:t>3.6; 5.6; 6.5 — incorporada e citada.</w:t>
            </w:r>
          </w:p>
        </w:tc>
      </w:tr>
      <w:tr>
        <w:trPr>
          <w:cantSplit/>
        </w:trPr>
        <w:tc>
          <w:tcPr>
            <w:tcW w:type="dxa" w:w="567"/>
            <w:vAlign w:val="top"/>
            <w:tcMar>
              <w:top w:w="70" w:type="dxa"/>
              <w:start w:w="70" w:type="dxa"/>
              <w:bottom w:w="70" w:type="dxa"/>
              <w:end w:w="70" w:type="dxa"/>
            </w:tcMar>
          </w:tcPr>
          <w:p>
            <w:pPr>
              <w:spacing w:after="0" w:line="240" w:lineRule="auto"/>
              <w:jc w:val="center"/>
            </w:pPr>
            <w:r>
              <w:rPr>
                <w:rFonts w:ascii="Times New Roman" w:hAnsi="Times New Roman"/>
                <w:b/>
                <w:sz w:val="16"/>
              </w:rPr>
              <w:t>R7</w:t>
            </w:r>
          </w:p>
        </w:tc>
        <w:tc>
          <w:tcPr>
            <w:tcW w:type="dxa" w:w="2835"/>
            <w:vAlign w:val="top"/>
            <w:tcMar>
              <w:top w:w="70" w:type="dxa"/>
              <w:start w:w="70" w:type="dxa"/>
              <w:bottom w:w="70" w:type="dxa"/>
              <w:end w:w="70" w:type="dxa"/>
            </w:tcMar>
          </w:tcPr>
          <w:p>
            <w:pPr>
              <w:spacing w:after="0" w:line="240" w:lineRule="auto"/>
            </w:pPr>
            <w:r>
              <w:rPr>
                <w:rFonts w:ascii="Times New Roman" w:hAnsi="Times New Roman"/>
                <w:sz w:val="16"/>
              </w:rPr>
              <w:t>CONAR. Guia de Marketing e Publicidade por Influenciadores Digitais (2026).</w:t>
            </w:r>
          </w:p>
        </w:tc>
        <w:tc>
          <w:tcPr>
            <w:tcW w:type="dxa" w:w="3231"/>
            <w:vAlign w:val="top"/>
            <w:tcMar>
              <w:top w:w="70" w:type="dxa"/>
              <w:start w:w="70" w:type="dxa"/>
              <w:bottom w:w="70" w:type="dxa"/>
              <w:end w:w="70" w:type="dxa"/>
            </w:tcMar>
          </w:tcPr>
          <w:p>
            <w:pPr>
              <w:spacing w:after="0" w:line="240" w:lineRule="auto"/>
            </w:pPr>
            <w:r>
              <w:rPr>
                <w:rFonts w:ascii="Times New Roman" w:hAnsi="Times New Roman"/>
                <w:sz w:val="16"/>
              </w:rPr>
              <w:t>Autorregulação brasileira: publicidade, identificação, IA e proteção infantojuvenil.</w:t>
            </w:r>
          </w:p>
        </w:tc>
        <w:tc>
          <w:tcPr>
            <w:tcW w:type="dxa" w:w="2721"/>
            <w:vAlign w:val="top"/>
            <w:tcMar>
              <w:top w:w="70" w:type="dxa"/>
              <w:start w:w="70" w:type="dxa"/>
              <w:bottom w:w="70" w:type="dxa"/>
              <w:end w:w="70" w:type="dxa"/>
            </w:tcMar>
          </w:tcPr>
          <w:p>
            <w:pPr>
              <w:spacing w:after="0" w:line="240" w:lineRule="auto"/>
            </w:pPr>
            <w:r>
              <w:rPr>
                <w:rFonts w:ascii="Times New Roman" w:hAnsi="Times New Roman"/>
                <w:sz w:val="16"/>
              </w:rPr>
              <w:t>3.6; 6.5; 6.7 — incorporada e citada.</w:t>
            </w:r>
          </w:p>
        </w:tc>
      </w:tr>
      <w:tr>
        <w:trPr>
          <w:cantSplit/>
        </w:trPr>
        <w:tc>
          <w:tcPr>
            <w:tcW w:type="dxa" w:w="567"/>
            <w:vAlign w:val="top"/>
            <w:tcMar>
              <w:top w:w="70" w:type="dxa"/>
              <w:start w:w="70" w:type="dxa"/>
              <w:bottom w:w="70" w:type="dxa"/>
              <w:end w:w="70" w:type="dxa"/>
            </w:tcMar>
          </w:tcPr>
          <w:p>
            <w:pPr>
              <w:spacing w:after="0" w:line="240" w:lineRule="auto"/>
              <w:jc w:val="center"/>
            </w:pPr>
            <w:r>
              <w:rPr>
                <w:rFonts w:ascii="Times New Roman" w:hAnsi="Times New Roman"/>
                <w:b/>
                <w:sz w:val="16"/>
              </w:rPr>
              <w:t>R8</w:t>
            </w:r>
          </w:p>
        </w:tc>
        <w:tc>
          <w:tcPr>
            <w:tcW w:type="dxa" w:w="2835"/>
            <w:vAlign w:val="top"/>
            <w:tcMar>
              <w:top w:w="70" w:type="dxa"/>
              <w:start w:w="70" w:type="dxa"/>
              <w:bottom w:w="70" w:type="dxa"/>
              <w:end w:w="70" w:type="dxa"/>
            </w:tcMar>
          </w:tcPr>
          <w:p>
            <w:pPr>
              <w:spacing w:after="0" w:line="240" w:lineRule="auto"/>
            </w:pPr>
            <w:r>
              <w:rPr>
                <w:rFonts w:ascii="Times New Roman" w:hAnsi="Times New Roman"/>
                <w:sz w:val="16"/>
              </w:rPr>
              <w:t xml:space="preserve">YOUPIX. Mapa brasileiro da economia da criação de conteúdo (atualização set. 2025).</w:t>
            </w:r>
          </w:p>
        </w:tc>
        <w:tc>
          <w:tcPr>
            <w:tcW w:type="dxa" w:w="3231"/>
            <w:vAlign w:val="top"/>
            <w:tcMar>
              <w:top w:w="70" w:type="dxa"/>
              <w:start w:w="70" w:type="dxa"/>
              <w:bottom w:w="70" w:type="dxa"/>
              <w:end w:w="70" w:type="dxa"/>
            </w:tcMar>
          </w:tcPr>
          <w:p>
            <w:pPr>
              <w:spacing w:after="0" w:line="240" w:lineRule="auto"/>
            </w:pPr>
            <w:r>
              <w:rPr>
                <w:rFonts w:ascii="Times New Roman" w:hAnsi="Times New Roman"/>
                <w:sz w:val="16"/>
              </w:rPr>
              <w:t>Players nacionais, plataformas, agências, tecnologia e intermediários.</w:t>
            </w:r>
          </w:p>
        </w:tc>
        <w:tc>
          <w:tcPr>
            <w:tcW w:type="dxa" w:w="2721"/>
            <w:vAlign w:val="top"/>
            <w:tcMar>
              <w:top w:w="70" w:type="dxa"/>
              <w:start w:w="70" w:type="dxa"/>
              <w:bottom w:w="70" w:type="dxa"/>
              <w:end w:w="70" w:type="dxa"/>
            </w:tcMar>
          </w:tcPr>
          <w:p>
            <w:pPr>
              <w:spacing w:after="0" w:line="240" w:lineRule="auto"/>
            </w:pPr>
            <w:r>
              <w:rPr>
                <w:rFonts w:ascii="Times New Roman" w:hAnsi="Times New Roman"/>
                <w:sz w:val="16"/>
              </w:rPr>
              <w:t>3.4; 4; 6.2 — incorporada e citada.</w:t>
            </w:r>
          </w:p>
        </w:tc>
      </w:tr>
      <w:tr>
        <w:trPr>
          <w:cantSplit/>
        </w:trPr>
        <w:tc>
          <w:tcPr>
            <w:tcW w:type="dxa" w:w="567"/>
            <w:vAlign w:val="top"/>
            <w:tcMar>
              <w:top w:w="70" w:type="dxa"/>
              <w:start w:w="70" w:type="dxa"/>
              <w:bottom w:w="70" w:type="dxa"/>
              <w:end w:w="70" w:type="dxa"/>
            </w:tcMar>
          </w:tcPr>
          <w:p>
            <w:pPr>
              <w:spacing w:after="0" w:line="240" w:lineRule="auto"/>
              <w:jc w:val="center"/>
            </w:pPr>
            <w:r>
              <w:rPr>
                <w:rFonts w:ascii="Times New Roman" w:hAnsi="Times New Roman"/>
                <w:b/>
                <w:sz w:val="16"/>
              </w:rPr>
              <w:t>R9</w:t>
            </w:r>
          </w:p>
        </w:tc>
        <w:tc>
          <w:tcPr>
            <w:tcW w:type="dxa" w:w="2835"/>
            <w:vAlign w:val="top"/>
            <w:tcMar>
              <w:top w:w="70" w:type="dxa"/>
              <w:start w:w="70" w:type="dxa"/>
              <w:bottom w:w="70" w:type="dxa"/>
              <w:end w:w="70" w:type="dxa"/>
            </w:tcMar>
          </w:tcPr>
          <w:p>
            <w:pPr>
              <w:spacing w:after="0" w:line="240" w:lineRule="auto"/>
            </w:pPr>
            <w:r>
              <w:rPr>
                <w:rFonts w:ascii="Times New Roman" w:hAnsi="Times New Roman"/>
                <w:sz w:val="16"/>
              </w:rPr>
              <w:t xml:space="preserve">Pereira; Borges. Mapeando o ecossistema da economia da criação de conteúdo no Brasil (Intercom, 2024).</w:t>
            </w:r>
          </w:p>
        </w:tc>
        <w:tc>
          <w:tcPr>
            <w:tcW w:type="dxa" w:w="3231"/>
            <w:vAlign w:val="top"/>
            <w:tcMar>
              <w:top w:w="70" w:type="dxa"/>
              <w:start w:w="70" w:type="dxa"/>
              <w:bottom w:w="70" w:type="dxa"/>
              <w:end w:w="70" w:type="dxa"/>
            </w:tcMar>
          </w:tcPr>
          <w:p>
            <w:pPr>
              <w:spacing w:after="0" w:line="240" w:lineRule="auto"/>
            </w:pPr>
            <w:r>
              <w:rPr>
                <w:rFonts w:ascii="Times New Roman" w:hAnsi="Times New Roman"/>
                <w:sz w:val="16"/>
              </w:rPr>
              <w:t>Mapeamento acadêmico nacional, atores, configurações e modelos de negócio.</w:t>
            </w:r>
          </w:p>
        </w:tc>
        <w:tc>
          <w:tcPr>
            <w:tcW w:type="dxa" w:w="2721"/>
            <w:vAlign w:val="top"/>
            <w:tcMar>
              <w:top w:w="70" w:type="dxa"/>
              <w:start w:w="70" w:type="dxa"/>
              <w:bottom w:w="70" w:type="dxa"/>
              <w:end w:w="70" w:type="dxa"/>
            </w:tcMar>
          </w:tcPr>
          <w:p>
            <w:pPr>
              <w:spacing w:after="0" w:line="240" w:lineRule="auto"/>
            </w:pPr>
            <w:r>
              <w:rPr>
                <w:rFonts w:ascii="Times New Roman" w:hAnsi="Times New Roman"/>
                <w:sz w:val="16"/>
              </w:rPr>
              <w:t>1; 4; 6.2 — incorporada e citada.</w:t>
            </w:r>
          </w:p>
        </w:tc>
      </w:tr>
      <w:tr>
        <w:trPr>
          <w:cantSplit/>
        </w:trPr>
        <w:tc>
          <w:tcPr>
            <w:tcW w:type="dxa" w:w="567"/>
            <w:vAlign w:val="top"/>
            <w:tcMar>
              <w:top w:w="70" w:type="dxa"/>
              <w:start w:w="70" w:type="dxa"/>
              <w:bottom w:w="70" w:type="dxa"/>
              <w:end w:w="70" w:type="dxa"/>
            </w:tcMar>
          </w:tcPr>
          <w:p>
            <w:pPr>
              <w:spacing w:after="0" w:line="240" w:lineRule="auto"/>
              <w:jc w:val="center"/>
            </w:pPr>
            <w:r>
              <w:rPr>
                <w:rFonts w:ascii="Times New Roman" w:hAnsi="Times New Roman"/>
                <w:b/>
                <w:sz w:val="16"/>
              </w:rPr>
              <w:t>R10</w:t>
            </w:r>
          </w:p>
        </w:tc>
        <w:tc>
          <w:tcPr>
            <w:tcW w:type="dxa" w:w="2835"/>
            <w:vAlign w:val="top"/>
            <w:tcMar>
              <w:top w:w="70" w:type="dxa"/>
              <w:start w:w="70" w:type="dxa"/>
              <w:bottom w:w="70" w:type="dxa"/>
              <w:end w:w="70" w:type="dxa"/>
            </w:tcMar>
          </w:tcPr>
          <w:p>
            <w:pPr>
              <w:spacing w:after="0" w:line="240" w:lineRule="auto"/>
            </w:pPr>
            <w:r>
              <w:rPr>
                <w:rFonts w:ascii="Times New Roman" w:hAnsi="Times New Roman"/>
                <w:sz w:val="16"/>
              </w:rPr>
              <w:t>YOUPIX; Brunch. Creators &amp; Negócios 2025.</w:t>
            </w:r>
          </w:p>
        </w:tc>
        <w:tc>
          <w:tcPr>
            <w:tcW w:type="dxa" w:w="3231"/>
            <w:vAlign w:val="top"/>
            <w:tcMar>
              <w:top w:w="70" w:type="dxa"/>
              <w:start w:w="70" w:type="dxa"/>
              <w:bottom w:w="70" w:type="dxa"/>
              <w:end w:w="70" w:type="dxa"/>
            </w:tcMar>
          </w:tcPr>
          <w:p>
            <w:pPr>
              <w:spacing w:after="0" w:line="240" w:lineRule="auto"/>
            </w:pPr>
            <w:r>
              <w:rPr>
                <w:rFonts w:ascii="Times New Roman" w:hAnsi="Times New Roman"/>
                <w:sz w:val="16"/>
              </w:rPr>
              <w:t>Profissionalização, renda, UGC, sustentabilidade e creator como negócio.</w:t>
            </w:r>
          </w:p>
        </w:tc>
        <w:tc>
          <w:tcPr>
            <w:tcW w:type="dxa" w:w="2721"/>
            <w:vAlign w:val="top"/>
            <w:tcMar>
              <w:top w:w="70" w:type="dxa"/>
              <w:start w:w="70" w:type="dxa"/>
              <w:bottom w:w="70" w:type="dxa"/>
              <w:end w:w="70" w:type="dxa"/>
            </w:tcMar>
          </w:tcPr>
          <w:p>
            <w:pPr>
              <w:spacing w:after="0" w:line="240" w:lineRule="auto"/>
            </w:pPr>
            <w:r>
              <w:rPr>
                <w:rFonts w:ascii="Times New Roman" w:hAnsi="Times New Roman"/>
                <w:sz w:val="16"/>
              </w:rPr>
              <w:t>3.5; 6.2 — incorporada com indicadores descritivos.</w:t>
            </w:r>
          </w:p>
        </w:tc>
      </w:tr>
      <w:tr>
        <w:trPr>
          <w:cantSplit/>
        </w:trPr>
        <w:tc>
          <w:tcPr>
            <w:tcW w:type="dxa" w:w="567"/>
            <w:vAlign w:val="top"/>
            <w:tcMar>
              <w:top w:w="70" w:type="dxa"/>
              <w:start w:w="70" w:type="dxa"/>
              <w:bottom w:w="70" w:type="dxa"/>
              <w:end w:w="70" w:type="dxa"/>
            </w:tcMar>
          </w:tcPr>
          <w:p>
            <w:pPr>
              <w:spacing w:after="0" w:line="240" w:lineRule="auto"/>
              <w:jc w:val="center"/>
            </w:pPr>
            <w:r>
              <w:rPr>
                <w:rFonts w:ascii="Times New Roman" w:hAnsi="Times New Roman"/>
                <w:b/>
                <w:sz w:val="16"/>
              </w:rPr>
              <w:t>R11</w:t>
            </w:r>
          </w:p>
        </w:tc>
        <w:tc>
          <w:tcPr>
            <w:tcW w:type="dxa" w:w="2835"/>
            <w:vAlign w:val="top"/>
            <w:tcMar>
              <w:top w:w="70" w:type="dxa"/>
              <w:start w:w="70" w:type="dxa"/>
              <w:bottom w:w="70" w:type="dxa"/>
              <w:end w:w="70" w:type="dxa"/>
            </w:tcMar>
          </w:tcPr>
          <w:p>
            <w:pPr>
              <w:spacing w:after="0" w:line="240" w:lineRule="auto"/>
            </w:pPr>
            <w:r>
              <w:rPr>
                <w:rFonts w:ascii="Times New Roman" w:hAnsi="Times New Roman"/>
                <w:sz w:val="16"/>
              </w:rPr>
              <w:t>Cunningham; Craig. Social Media Entertainment (2019).</w:t>
            </w:r>
          </w:p>
        </w:tc>
        <w:tc>
          <w:tcPr>
            <w:tcW w:type="dxa" w:w="3231"/>
            <w:vAlign w:val="top"/>
            <w:tcMar>
              <w:top w:w="70" w:type="dxa"/>
              <w:start w:w="70" w:type="dxa"/>
              <w:bottom w:w="70" w:type="dxa"/>
              <w:end w:w="70" w:type="dxa"/>
            </w:tcMar>
          </w:tcPr>
          <w:p>
            <w:pPr>
              <w:spacing w:after="0" w:line="240" w:lineRule="auto"/>
            </w:pPr>
            <w:r>
              <w:rPr>
                <w:rFonts w:ascii="Times New Roman" w:hAnsi="Times New Roman"/>
                <w:sz w:val="16"/>
              </w:rPr>
              <w:t>Indústria de creators, plataformas, intermediação e produção social.</w:t>
            </w:r>
          </w:p>
        </w:tc>
        <w:tc>
          <w:tcPr>
            <w:tcW w:type="dxa" w:w="2721"/>
            <w:vAlign w:val="top"/>
            <w:tcMar>
              <w:top w:w="70" w:type="dxa"/>
              <w:start w:w="70" w:type="dxa"/>
              <w:bottom w:w="70" w:type="dxa"/>
              <w:end w:w="70" w:type="dxa"/>
            </w:tcMar>
          </w:tcPr>
          <w:p>
            <w:pPr>
              <w:spacing w:after="0" w:line="240" w:lineRule="auto"/>
            </w:pPr>
            <w:r>
              <w:rPr>
                <w:rFonts w:ascii="Times New Roman" w:hAnsi="Times New Roman"/>
                <w:sz w:val="16"/>
              </w:rPr>
              <w:t>1; 3.1 — incorporada e citada.</w:t>
            </w:r>
          </w:p>
        </w:tc>
      </w:tr>
      <w:tr>
        <w:trPr>
          <w:cantSplit/>
        </w:trPr>
        <w:tc>
          <w:tcPr>
            <w:tcW w:type="dxa" w:w="567"/>
            <w:vAlign w:val="top"/>
            <w:tcMar>
              <w:top w:w="70" w:type="dxa"/>
              <w:start w:w="70" w:type="dxa"/>
              <w:bottom w:w="70" w:type="dxa"/>
              <w:end w:w="70" w:type="dxa"/>
            </w:tcMar>
          </w:tcPr>
          <w:p>
            <w:pPr>
              <w:spacing w:after="0" w:line="240" w:lineRule="auto"/>
              <w:jc w:val="center"/>
            </w:pPr>
            <w:r>
              <w:rPr>
                <w:rFonts w:ascii="Times New Roman" w:hAnsi="Times New Roman"/>
                <w:b/>
                <w:sz w:val="16"/>
              </w:rPr>
              <w:t>R12</w:t>
            </w:r>
          </w:p>
        </w:tc>
        <w:tc>
          <w:tcPr>
            <w:tcW w:type="dxa" w:w="2835"/>
            <w:vAlign w:val="top"/>
            <w:tcMar>
              <w:top w:w="70" w:type="dxa"/>
              <w:start w:w="70" w:type="dxa"/>
              <w:bottom w:w="70" w:type="dxa"/>
              <w:end w:w="70" w:type="dxa"/>
            </w:tcMar>
          </w:tcPr>
          <w:p>
            <w:pPr>
              <w:spacing w:after="0" w:line="240" w:lineRule="auto"/>
            </w:pPr>
            <w:r>
              <w:rPr>
                <w:rFonts w:ascii="Times New Roman" w:hAnsi="Times New Roman"/>
                <w:sz w:val="16"/>
              </w:rPr>
              <w:t>Hund. The Influencer Industry (2023).</w:t>
            </w:r>
          </w:p>
        </w:tc>
        <w:tc>
          <w:tcPr>
            <w:tcW w:type="dxa" w:w="3231"/>
            <w:vAlign w:val="top"/>
            <w:tcMar>
              <w:top w:w="70" w:type="dxa"/>
              <w:start w:w="70" w:type="dxa"/>
              <w:bottom w:w="70" w:type="dxa"/>
              <w:end w:w="70" w:type="dxa"/>
            </w:tcMar>
          </w:tcPr>
          <w:p>
            <w:pPr>
              <w:spacing w:after="0" w:line="240" w:lineRule="auto"/>
            </w:pPr>
            <w:r>
              <w:rPr>
                <w:rFonts w:ascii="Times New Roman" w:hAnsi="Times New Roman"/>
                <w:sz w:val="16"/>
              </w:rPr>
              <w:t>Autenticidade, profissionalização e estrutura econômica da influência.</w:t>
            </w:r>
          </w:p>
        </w:tc>
        <w:tc>
          <w:tcPr>
            <w:tcW w:type="dxa" w:w="2721"/>
            <w:vAlign w:val="top"/>
            <w:tcMar>
              <w:top w:w="70" w:type="dxa"/>
              <w:start w:w="70" w:type="dxa"/>
              <w:bottom w:w="70" w:type="dxa"/>
              <w:end w:w="70" w:type="dxa"/>
            </w:tcMar>
          </w:tcPr>
          <w:p>
            <w:pPr>
              <w:spacing w:after="0" w:line="240" w:lineRule="auto"/>
            </w:pPr>
            <w:r>
              <w:rPr>
                <w:rFonts w:ascii="Times New Roman" w:hAnsi="Times New Roman"/>
                <w:sz w:val="16"/>
              </w:rPr>
              <w:t>1; 3.2; discussão conceitual — incorporada e citada.</w:t>
            </w:r>
          </w:p>
        </w:tc>
      </w:tr>
      <w:tr>
        <w:trPr>
          <w:cantSplit/>
        </w:trPr>
        <w:tc>
          <w:tcPr>
            <w:tcW w:type="dxa" w:w="567"/>
            <w:vAlign w:val="top"/>
            <w:tcMar>
              <w:top w:w="70" w:type="dxa"/>
              <w:start w:w="70" w:type="dxa"/>
              <w:bottom w:w="70" w:type="dxa"/>
              <w:end w:w="70" w:type="dxa"/>
            </w:tcMar>
          </w:tcPr>
          <w:p>
            <w:pPr>
              <w:spacing w:after="0" w:line="240" w:lineRule="auto"/>
              <w:jc w:val="center"/>
            </w:pPr>
            <w:r>
              <w:rPr>
                <w:rFonts w:ascii="Times New Roman" w:hAnsi="Times New Roman"/>
                <w:b/>
                <w:sz w:val="16"/>
              </w:rPr>
              <w:t>R13</w:t>
            </w:r>
          </w:p>
        </w:tc>
        <w:tc>
          <w:tcPr>
            <w:tcW w:type="dxa" w:w="2835"/>
            <w:vAlign w:val="top"/>
            <w:tcMar>
              <w:top w:w="70" w:type="dxa"/>
              <w:start w:w="70" w:type="dxa"/>
              <w:bottom w:w="70" w:type="dxa"/>
              <w:end w:w="70" w:type="dxa"/>
            </w:tcMar>
          </w:tcPr>
          <w:p>
            <w:pPr>
              <w:spacing w:after="0" w:line="240" w:lineRule="auto"/>
            </w:pPr>
            <w:r>
              <w:rPr>
                <w:rFonts w:ascii="Times New Roman" w:hAnsi="Times New Roman"/>
                <w:sz w:val="16"/>
              </w:rPr>
              <w:t>Abidin. Internet Celebrity (2018).</w:t>
            </w:r>
          </w:p>
        </w:tc>
        <w:tc>
          <w:tcPr>
            <w:tcW w:type="dxa" w:w="3231"/>
            <w:vAlign w:val="top"/>
            <w:tcMar>
              <w:top w:w="70" w:type="dxa"/>
              <w:start w:w="70" w:type="dxa"/>
              <w:bottom w:w="70" w:type="dxa"/>
              <w:end w:w="70" w:type="dxa"/>
            </w:tcMar>
          </w:tcPr>
          <w:p>
            <w:pPr>
              <w:spacing w:after="0" w:line="240" w:lineRule="auto"/>
            </w:pPr>
            <w:r>
              <w:rPr>
                <w:rFonts w:ascii="Times New Roman" w:hAnsi="Times New Roman"/>
                <w:sz w:val="16"/>
              </w:rPr>
              <w:t>Celebridade digital, notoriedade, microcelebridade e tipos de influência.</w:t>
            </w:r>
          </w:p>
        </w:tc>
        <w:tc>
          <w:tcPr>
            <w:tcW w:type="dxa" w:w="2721"/>
            <w:vAlign w:val="top"/>
            <w:tcMar>
              <w:top w:w="70" w:type="dxa"/>
              <w:start w:w="70" w:type="dxa"/>
              <w:bottom w:w="70" w:type="dxa"/>
              <w:end w:w="70" w:type="dxa"/>
            </w:tcMar>
          </w:tcPr>
          <w:p>
            <w:pPr>
              <w:spacing w:after="0" w:line="240" w:lineRule="auto"/>
            </w:pPr>
            <w:r>
              <w:rPr>
                <w:rFonts w:ascii="Times New Roman" w:hAnsi="Times New Roman"/>
                <w:sz w:val="16"/>
              </w:rPr>
              <w:t>1; 3.2; glossário — incorporada e citada.</w:t>
            </w:r>
          </w:p>
        </w:tc>
      </w:tr>
      <w:tr>
        <w:trPr>
          <w:cantSplit/>
        </w:trPr>
        <w:tc>
          <w:tcPr>
            <w:tcW w:type="dxa" w:w="567"/>
            <w:vAlign w:val="top"/>
            <w:tcMar>
              <w:top w:w="70" w:type="dxa"/>
              <w:start w:w="70" w:type="dxa"/>
              <w:bottom w:w="70" w:type="dxa"/>
              <w:end w:w="70" w:type="dxa"/>
            </w:tcMar>
          </w:tcPr>
          <w:p>
            <w:pPr>
              <w:spacing w:after="0" w:line="240" w:lineRule="auto"/>
              <w:jc w:val="center"/>
            </w:pPr>
            <w:r>
              <w:rPr>
                <w:rFonts w:ascii="Times New Roman" w:hAnsi="Times New Roman"/>
                <w:b/>
                <w:sz w:val="16"/>
              </w:rPr>
              <w:t>R14</w:t>
            </w:r>
          </w:p>
        </w:tc>
        <w:tc>
          <w:tcPr>
            <w:tcW w:type="dxa" w:w="2835"/>
            <w:vAlign w:val="top"/>
            <w:tcMar>
              <w:top w:w="70" w:type="dxa"/>
              <w:start w:w="70" w:type="dxa"/>
              <w:bottom w:w="70" w:type="dxa"/>
              <w:end w:w="70" w:type="dxa"/>
            </w:tcMar>
          </w:tcPr>
          <w:p>
            <w:pPr>
              <w:spacing w:after="0" w:line="240" w:lineRule="auto"/>
            </w:pPr>
            <w:r>
              <w:rPr>
                <w:rFonts w:ascii="Times New Roman" w:hAnsi="Times New Roman"/>
                <w:sz w:val="16"/>
              </w:rPr>
              <w:t>Duffy. (Not) Getting Paid to Do What You Love (2017).</w:t>
            </w:r>
          </w:p>
        </w:tc>
        <w:tc>
          <w:tcPr>
            <w:tcW w:type="dxa" w:w="3231"/>
            <w:vAlign w:val="top"/>
            <w:tcMar>
              <w:top w:w="70" w:type="dxa"/>
              <w:start w:w="70" w:type="dxa"/>
              <w:bottom w:w="70" w:type="dxa"/>
              <w:end w:w="70" w:type="dxa"/>
            </w:tcMar>
          </w:tcPr>
          <w:p>
            <w:pPr>
              <w:spacing w:after="0" w:line="240" w:lineRule="auto"/>
            </w:pPr>
            <w:r>
              <w:rPr>
                <w:rFonts w:ascii="Times New Roman" w:hAnsi="Times New Roman"/>
                <w:sz w:val="16"/>
              </w:rPr>
              <w:t>Trabalho aspiracional, profissionalização, desigualdades e economia criativa digital.</w:t>
            </w:r>
          </w:p>
        </w:tc>
        <w:tc>
          <w:tcPr>
            <w:tcW w:type="dxa" w:w="2721"/>
            <w:vAlign w:val="top"/>
            <w:tcMar>
              <w:top w:w="70" w:type="dxa"/>
              <w:start w:w="70" w:type="dxa"/>
              <w:bottom w:w="70" w:type="dxa"/>
              <w:end w:w="70" w:type="dxa"/>
            </w:tcMar>
          </w:tcPr>
          <w:p>
            <w:pPr>
              <w:spacing w:after="0" w:line="240" w:lineRule="auto"/>
            </w:pPr>
            <w:r>
              <w:rPr>
                <w:rFonts w:ascii="Times New Roman" w:hAnsi="Times New Roman"/>
                <w:sz w:val="16"/>
              </w:rPr>
              <w:t>1; 3.3 — incorporada e citada.</w:t>
            </w:r>
          </w:p>
        </w:tc>
      </w:tr>
      <w:tr>
        <w:trPr>
          <w:cantSplit/>
        </w:trPr>
        <w:tc>
          <w:tcPr>
            <w:tcW w:type="dxa" w:w="567"/>
            <w:vAlign w:val="top"/>
            <w:tcMar>
              <w:top w:w="70" w:type="dxa"/>
              <w:start w:w="70" w:type="dxa"/>
              <w:bottom w:w="70" w:type="dxa"/>
              <w:end w:w="70" w:type="dxa"/>
            </w:tcMar>
          </w:tcPr>
          <w:p>
            <w:pPr>
              <w:spacing w:after="0" w:line="240" w:lineRule="auto"/>
              <w:jc w:val="center"/>
            </w:pPr>
            <w:r>
              <w:rPr>
                <w:rFonts w:ascii="Times New Roman" w:hAnsi="Times New Roman"/>
                <w:b/>
                <w:sz w:val="16"/>
              </w:rPr>
              <w:t>R15</w:t>
            </w:r>
          </w:p>
        </w:tc>
        <w:tc>
          <w:tcPr>
            <w:tcW w:type="dxa" w:w="2835"/>
            <w:vAlign w:val="top"/>
            <w:tcMar>
              <w:top w:w="70" w:type="dxa"/>
              <w:start w:w="70" w:type="dxa"/>
              <w:bottom w:w="70" w:type="dxa"/>
              <w:end w:w="70" w:type="dxa"/>
            </w:tcMar>
          </w:tcPr>
          <w:p>
            <w:pPr>
              <w:spacing w:after="0" w:line="240" w:lineRule="auto"/>
            </w:pPr>
            <w:r>
              <w:rPr>
                <w:rFonts w:ascii="Times New Roman" w:hAnsi="Times New Roman"/>
                <w:sz w:val="16"/>
              </w:rPr>
              <w:t xml:space="preserve">IAB. O panorama da mensuração na economia da criação de conteúdo [título traduzido] (2026).</w:t>
            </w:r>
          </w:p>
        </w:tc>
        <w:tc>
          <w:tcPr>
            <w:tcW w:type="dxa" w:w="3231"/>
            <w:vAlign w:val="top"/>
            <w:tcMar>
              <w:top w:w="70" w:type="dxa"/>
              <w:start w:w="70" w:type="dxa"/>
              <w:bottom w:w="70" w:type="dxa"/>
              <w:end w:w="70" w:type="dxa"/>
            </w:tcMar>
          </w:tcPr>
          <w:p>
            <w:pPr>
              <w:spacing w:after="0" w:line="240" w:lineRule="auto"/>
            </w:pPr>
            <w:r>
              <w:rPr>
                <w:rFonts w:ascii="Times New Roman" w:hAnsi="Times New Roman"/>
                <w:sz w:val="16"/>
              </w:rPr>
              <w:t>Mensuração, proxies, atribuição, audiência, influência, conversão e receita.</w:t>
            </w:r>
          </w:p>
        </w:tc>
        <w:tc>
          <w:tcPr>
            <w:tcW w:type="dxa" w:w="2721"/>
            <w:vAlign w:val="top"/>
            <w:tcMar>
              <w:top w:w="70" w:type="dxa"/>
              <w:start w:w="70" w:type="dxa"/>
              <w:bottom w:w="70" w:type="dxa"/>
              <w:end w:w="70" w:type="dxa"/>
            </w:tcMar>
          </w:tcPr>
          <w:p>
            <w:pPr>
              <w:spacing w:after="0" w:line="240" w:lineRule="auto"/>
            </w:pPr>
            <w:r>
              <w:rPr>
                <w:rFonts w:ascii="Times New Roman" w:hAnsi="Times New Roman"/>
                <w:sz w:val="16"/>
              </w:rPr>
              <w:t>3.7; 5.4; 6.4 — incorporada e citada.</w:t>
            </w:r>
          </w:p>
        </w:tc>
      </w:tr>
      <w:tr>
        <w:trPr>
          <w:cantSplit/>
        </w:trPr>
        <w:tc>
          <w:tcPr>
            <w:tcW w:type="dxa" w:w="567"/>
            <w:vAlign w:val="top"/>
            <w:tcMar>
              <w:top w:w="70" w:type="dxa"/>
              <w:start w:w="70" w:type="dxa"/>
              <w:bottom w:w="70" w:type="dxa"/>
              <w:end w:w="70" w:type="dxa"/>
            </w:tcMar>
          </w:tcPr>
          <w:p>
            <w:pPr>
              <w:spacing w:after="0" w:line="240" w:lineRule="auto"/>
              <w:jc w:val="center"/>
            </w:pPr>
            <w:r>
              <w:rPr>
                <w:rFonts w:ascii="Times New Roman" w:hAnsi="Times New Roman"/>
                <w:b/>
                <w:sz w:val="16"/>
              </w:rPr>
              <w:t>R16</w:t>
            </w:r>
          </w:p>
        </w:tc>
        <w:tc>
          <w:tcPr>
            <w:tcW w:type="dxa" w:w="2835"/>
            <w:vAlign w:val="top"/>
            <w:tcMar>
              <w:top w:w="70" w:type="dxa"/>
              <w:start w:w="70" w:type="dxa"/>
              <w:bottom w:w="70" w:type="dxa"/>
              <w:end w:w="70" w:type="dxa"/>
            </w:tcMar>
          </w:tcPr>
          <w:p>
            <w:pPr>
              <w:spacing w:after="0" w:line="240" w:lineRule="auto"/>
            </w:pPr>
            <w:r>
              <w:rPr>
                <w:rFonts w:ascii="Times New Roman" w:hAnsi="Times New Roman"/>
                <w:sz w:val="16"/>
              </w:rPr>
              <w:t>European Commission. Influencer Legal Hub (2023-).</w:t>
            </w:r>
          </w:p>
        </w:tc>
        <w:tc>
          <w:tcPr>
            <w:tcW w:type="dxa" w:w="3231"/>
            <w:vAlign w:val="top"/>
            <w:tcMar>
              <w:top w:w="70" w:type="dxa"/>
              <w:start w:w="70" w:type="dxa"/>
              <w:bottom w:w="70" w:type="dxa"/>
              <w:end w:w="70" w:type="dxa"/>
            </w:tcMar>
          </w:tcPr>
          <w:p>
            <w:pPr>
              <w:spacing w:after="0" w:line="240" w:lineRule="auto"/>
            </w:pPr>
            <w:r>
              <w:rPr>
                <w:rFonts w:ascii="Times New Roman" w:hAnsi="Times New Roman"/>
                <w:sz w:val="16"/>
              </w:rPr>
              <w:t>Contraste institucional: creator como anunciante/vendedor e relações econômicas.</w:t>
            </w:r>
          </w:p>
        </w:tc>
        <w:tc>
          <w:tcPr>
            <w:tcW w:type="dxa" w:w="2721"/>
            <w:vAlign w:val="top"/>
            <w:tcMar>
              <w:top w:w="70" w:type="dxa"/>
              <w:start w:w="70" w:type="dxa"/>
              <w:bottom w:w="70" w:type="dxa"/>
              <w:end w:w="70" w:type="dxa"/>
            </w:tcMar>
          </w:tcPr>
          <w:p>
            <w:pPr>
              <w:spacing w:after="0" w:line="240" w:lineRule="auto"/>
            </w:pPr>
            <w:r>
              <w:rPr>
                <w:rFonts w:ascii="Times New Roman" w:hAnsi="Times New Roman"/>
                <w:sz w:val="16"/>
              </w:rPr>
              <w:t>3.6; 6.5 — incorporada e citada.</w:t>
            </w:r>
          </w:p>
        </w:tc>
      </w:tr>
      <w:tr>
        <w:trPr>
          <w:cantSplit/>
        </w:trPr>
        <w:tc>
          <w:tcPr>
            <w:tcW w:type="dxa" w:w="567"/>
            <w:vAlign w:val="top"/>
            <w:tcMar>
              <w:top w:w="70" w:type="dxa"/>
              <w:start w:w="70" w:type="dxa"/>
              <w:bottom w:w="70" w:type="dxa"/>
              <w:end w:w="70" w:type="dxa"/>
            </w:tcMar>
          </w:tcPr>
          <w:p>
            <w:pPr>
              <w:spacing w:after="0" w:line="240" w:lineRule="auto"/>
              <w:jc w:val="center"/>
            </w:pPr>
            <w:r>
              <w:rPr>
                <w:rFonts w:ascii="Times New Roman" w:hAnsi="Times New Roman"/>
                <w:b/>
                <w:sz w:val="16"/>
              </w:rPr>
              <w:t>R17</w:t>
            </w:r>
          </w:p>
        </w:tc>
        <w:tc>
          <w:tcPr>
            <w:tcW w:type="dxa" w:w="2835"/>
            <w:vAlign w:val="top"/>
            <w:tcMar>
              <w:top w:w="70" w:type="dxa"/>
              <w:start w:w="70" w:type="dxa"/>
              <w:bottom w:w="70" w:type="dxa"/>
              <w:end w:w="70" w:type="dxa"/>
            </w:tcMar>
          </w:tcPr>
          <w:p>
            <w:pPr>
              <w:spacing w:after="0" w:line="240" w:lineRule="auto"/>
            </w:pPr>
            <w:r>
              <w:rPr>
                <w:rFonts w:ascii="Times New Roman" w:hAnsi="Times New Roman"/>
                <w:sz w:val="16"/>
              </w:rPr>
              <w:t>FTC. Disclosures 101 for Social Media Influencers (2019).</w:t>
            </w:r>
          </w:p>
        </w:tc>
        <w:tc>
          <w:tcPr>
            <w:tcW w:type="dxa" w:w="3231"/>
            <w:vAlign w:val="top"/>
            <w:tcMar>
              <w:top w:w="70" w:type="dxa"/>
              <w:start w:w="70" w:type="dxa"/>
              <w:bottom w:w="70" w:type="dxa"/>
              <w:end w:w="70" w:type="dxa"/>
            </w:tcMar>
          </w:tcPr>
          <w:p>
            <w:pPr>
              <w:spacing w:after="0" w:line="240" w:lineRule="auto"/>
            </w:pPr>
            <w:r>
              <w:rPr>
                <w:rFonts w:ascii="Times New Roman" w:hAnsi="Times New Roman"/>
                <w:sz w:val="16"/>
              </w:rPr>
              <w:t>Conexões materiais, disclosure e relações creator-marca.</w:t>
            </w:r>
          </w:p>
        </w:tc>
        <w:tc>
          <w:tcPr>
            <w:tcW w:type="dxa" w:w="2721"/>
            <w:vAlign w:val="top"/>
            <w:tcMar>
              <w:top w:w="70" w:type="dxa"/>
              <w:start w:w="70" w:type="dxa"/>
              <w:bottom w:w="70" w:type="dxa"/>
              <w:end w:w="70" w:type="dxa"/>
            </w:tcMar>
          </w:tcPr>
          <w:p>
            <w:pPr>
              <w:spacing w:after="0" w:line="240" w:lineRule="auto"/>
            </w:pPr>
            <w:r>
              <w:rPr>
                <w:rFonts w:ascii="Times New Roman" w:hAnsi="Times New Roman"/>
                <w:sz w:val="16"/>
              </w:rPr>
              <w:t>3.6; 6.5 — incorporada e citada.</w:t>
            </w:r>
          </w:p>
        </w:tc>
      </w:tr>
      <w:tr>
        <w:trPr>
          <w:cantSplit/>
        </w:trPr>
        <w:tc>
          <w:tcPr>
            <w:tcW w:type="dxa" w:w="567"/>
            <w:vAlign w:val="top"/>
            <w:tcMar>
              <w:top w:w="70" w:type="dxa"/>
              <w:start w:w="70" w:type="dxa"/>
              <w:bottom w:w="70" w:type="dxa"/>
              <w:end w:w="70" w:type="dxa"/>
            </w:tcMar>
          </w:tcPr>
          <w:p>
            <w:pPr>
              <w:spacing w:after="0" w:line="240" w:lineRule="auto"/>
              <w:jc w:val="center"/>
            </w:pPr>
            <w:r>
              <w:rPr>
                <w:rFonts w:ascii="Times New Roman" w:hAnsi="Times New Roman"/>
                <w:b/>
                <w:sz w:val="16"/>
              </w:rPr>
              <w:t>R18</w:t>
            </w:r>
          </w:p>
        </w:tc>
        <w:tc>
          <w:tcPr>
            <w:tcW w:type="dxa" w:w="2835"/>
            <w:vAlign w:val="top"/>
            <w:tcMar>
              <w:top w:w="70" w:type="dxa"/>
              <w:start w:w="70" w:type="dxa"/>
              <w:bottom w:w="70" w:type="dxa"/>
              <w:end w:w="70" w:type="dxa"/>
            </w:tcMar>
          </w:tcPr>
          <w:p>
            <w:pPr>
              <w:spacing w:after="0" w:line="240" w:lineRule="auto"/>
            </w:pPr>
            <w:r>
              <w:rPr>
                <w:rFonts w:ascii="Times New Roman" w:hAnsi="Times New Roman"/>
                <w:sz w:val="16"/>
              </w:rPr>
              <w:t>FTC. Endorsement Guides: What People Are Asking (2023).</w:t>
            </w:r>
          </w:p>
        </w:tc>
        <w:tc>
          <w:tcPr>
            <w:tcW w:type="dxa" w:w="3231"/>
            <w:vAlign w:val="top"/>
            <w:tcMar>
              <w:top w:w="70" w:type="dxa"/>
              <w:start w:w="70" w:type="dxa"/>
              <w:bottom w:w="70" w:type="dxa"/>
              <w:end w:w="70" w:type="dxa"/>
            </w:tcMar>
          </w:tcPr>
          <w:p>
            <w:pPr>
              <w:spacing w:after="0" w:line="240" w:lineRule="auto"/>
            </w:pPr>
            <w:r>
              <w:rPr>
                <w:rFonts w:ascii="Times New Roman" w:hAnsi="Times New Roman"/>
                <w:sz w:val="16"/>
              </w:rPr>
              <w:t>Endorsements, affiliate marketing, benefícios e transparência.</w:t>
            </w:r>
          </w:p>
        </w:tc>
        <w:tc>
          <w:tcPr>
            <w:tcW w:type="dxa" w:w="2721"/>
            <w:vAlign w:val="top"/>
            <w:tcMar>
              <w:top w:w="70" w:type="dxa"/>
              <w:start w:w="70" w:type="dxa"/>
              <w:bottom w:w="70" w:type="dxa"/>
              <w:end w:w="70" w:type="dxa"/>
            </w:tcMar>
          </w:tcPr>
          <w:p>
            <w:pPr>
              <w:spacing w:after="0" w:line="240" w:lineRule="auto"/>
            </w:pPr>
            <w:r>
              <w:rPr>
                <w:rFonts w:ascii="Times New Roman" w:hAnsi="Times New Roman"/>
                <w:sz w:val="16"/>
              </w:rPr>
              <w:t>3.6; 6.5 — incorporada e citada.</w:t>
            </w:r>
          </w:p>
        </w:tc>
      </w:tr>
      <w:tr>
        <w:trPr>
          <w:cantSplit/>
        </w:trPr>
        <w:tc>
          <w:tcPr>
            <w:tcW w:type="dxa" w:w="567"/>
            <w:vAlign w:val="top"/>
            <w:tcMar>
              <w:top w:w="70" w:type="dxa"/>
              <w:start w:w="70" w:type="dxa"/>
              <w:bottom w:w="70" w:type="dxa"/>
              <w:end w:w="70" w:type="dxa"/>
            </w:tcMar>
          </w:tcPr>
          <w:p>
            <w:pPr>
              <w:spacing w:after="0" w:line="240" w:lineRule="auto"/>
              <w:jc w:val="center"/>
            </w:pPr>
            <w:r>
              <w:rPr>
                <w:rFonts w:ascii="Times New Roman" w:hAnsi="Times New Roman"/>
                <w:b/>
                <w:sz w:val="16"/>
              </w:rPr>
              <w:t>R19</w:t>
            </w:r>
          </w:p>
        </w:tc>
        <w:tc>
          <w:tcPr>
            <w:tcW w:type="dxa" w:w="2835"/>
            <w:vAlign w:val="top"/>
            <w:tcMar>
              <w:top w:w="70" w:type="dxa"/>
              <w:start w:w="70" w:type="dxa"/>
              <w:bottom w:w="70" w:type="dxa"/>
              <w:end w:w="70" w:type="dxa"/>
            </w:tcMar>
          </w:tcPr>
          <w:p>
            <w:pPr>
              <w:spacing w:after="0" w:line="240" w:lineRule="auto"/>
            </w:pPr>
            <w:r>
              <w:rPr>
                <w:rFonts w:ascii="Times New Roman" w:hAnsi="Times New Roman"/>
                <w:sz w:val="16"/>
              </w:rPr>
              <w:t>ISBA; IMTB. Influencer Marketing Code of Conduct, Version 4 (28 nov. 2024).</w:t>
            </w:r>
          </w:p>
        </w:tc>
        <w:tc>
          <w:tcPr>
            <w:tcW w:type="dxa" w:w="3231"/>
            <w:vAlign w:val="top"/>
            <w:tcMar>
              <w:top w:w="70" w:type="dxa"/>
              <w:start w:w="70" w:type="dxa"/>
              <w:bottom w:w="70" w:type="dxa"/>
              <w:end w:w="70" w:type="dxa"/>
            </w:tcMar>
          </w:tcPr>
          <w:p>
            <w:pPr>
              <w:spacing w:after="0" w:line="240" w:lineRule="auto"/>
            </w:pPr>
            <w:r>
              <w:rPr>
                <w:rFonts w:ascii="Times New Roman" w:hAnsi="Times New Roman"/>
                <w:sz w:val="16"/>
              </w:rPr>
              <w:t>Estrutura de mercado, contratação, mensuração, disclosure, marcas, agências, talentos e creators.</w:t>
            </w:r>
          </w:p>
        </w:tc>
        <w:tc>
          <w:tcPr>
            <w:tcW w:type="dxa" w:w="2721"/>
            <w:vAlign w:val="top"/>
            <w:tcMar>
              <w:top w:w="70" w:type="dxa"/>
              <w:start w:w="70" w:type="dxa"/>
              <w:bottom w:w="70" w:type="dxa"/>
              <w:end w:w="70" w:type="dxa"/>
            </w:tcMar>
          </w:tcPr>
          <w:p>
            <w:pPr>
              <w:spacing w:after="0" w:line="240" w:lineRule="auto"/>
            </w:pPr>
            <w:r>
              <w:rPr>
                <w:rFonts w:ascii="Times New Roman" w:hAnsi="Times New Roman"/>
                <w:sz w:val="16"/>
              </w:rPr>
              <w:t>3.4 — incorporada nominalmente; referência normalizada para ISBA/IMTB.</w:t>
            </w:r>
          </w:p>
        </w:tc>
      </w:tr>
      <w:tr>
        <w:trPr>
          <w:cantSplit/>
        </w:trPr>
        <w:tc>
          <w:tcPr>
            <w:tcW w:type="dxa" w:w="567"/>
            <w:vAlign w:val="top"/>
            <w:tcMar>
              <w:top w:w="70" w:type="dxa"/>
              <w:start w:w="70" w:type="dxa"/>
              <w:bottom w:w="70" w:type="dxa"/>
              <w:end w:w="70" w:type="dxa"/>
            </w:tcMar>
          </w:tcPr>
          <w:p>
            <w:pPr>
              <w:spacing w:after="0" w:line="240" w:lineRule="auto"/>
              <w:jc w:val="center"/>
            </w:pPr>
            <w:r>
              <w:rPr>
                <w:rFonts w:ascii="Times New Roman" w:hAnsi="Times New Roman"/>
                <w:b/>
                <w:sz w:val="16"/>
              </w:rPr>
              <w:t>R20</w:t>
            </w:r>
          </w:p>
        </w:tc>
        <w:tc>
          <w:tcPr>
            <w:tcW w:type="dxa" w:w="2835"/>
            <w:vAlign w:val="top"/>
            <w:tcMar>
              <w:top w:w="70" w:type="dxa"/>
              <w:start w:w="70" w:type="dxa"/>
              <w:bottom w:w="70" w:type="dxa"/>
              <w:end w:w="70" w:type="dxa"/>
            </w:tcMar>
          </w:tcPr>
          <w:p>
            <w:pPr>
              <w:spacing w:after="0" w:line="240" w:lineRule="auto"/>
            </w:pPr>
            <w:r>
              <w:rPr>
                <w:rFonts w:ascii="Times New Roman" w:hAnsi="Times New Roman"/>
                <w:sz w:val="16"/>
              </w:rPr>
              <w:t>EUIPO; European Commission. IP for Influencers ([s.d.]).</w:t>
            </w:r>
          </w:p>
        </w:tc>
        <w:tc>
          <w:tcPr>
            <w:tcW w:type="dxa" w:w="3231"/>
            <w:vAlign w:val="top"/>
            <w:tcMar>
              <w:top w:w="70" w:type="dxa"/>
              <w:start w:w="70" w:type="dxa"/>
              <w:bottom w:w="70" w:type="dxa"/>
              <w:end w:w="70" w:type="dxa"/>
            </w:tcMar>
          </w:tcPr>
          <w:p>
            <w:pPr>
              <w:spacing w:after="0" w:line="240" w:lineRule="auto"/>
            </w:pPr>
            <w:r>
              <w:rPr>
                <w:rFonts w:ascii="Times New Roman" w:hAnsi="Times New Roman"/>
                <w:sz w:val="16"/>
              </w:rPr>
              <w:t>Propriedade intelectual como ativo: copyright, marcas, desenhos e exploração de direitos.</w:t>
            </w:r>
          </w:p>
        </w:tc>
        <w:tc>
          <w:tcPr>
            <w:tcW w:type="dxa" w:w="2721"/>
            <w:vAlign w:val="top"/>
            <w:tcMar>
              <w:top w:w="70" w:type="dxa"/>
              <w:start w:w="70" w:type="dxa"/>
              <w:bottom w:w="70" w:type="dxa"/>
              <w:end w:w="70" w:type="dxa"/>
            </w:tcMar>
          </w:tcPr>
          <w:p>
            <w:pPr>
              <w:spacing w:after="0" w:line="240" w:lineRule="auto"/>
            </w:pPr>
            <w:r>
              <w:rPr>
                <w:rFonts w:ascii="Times New Roman" w:hAnsi="Times New Roman"/>
                <w:sz w:val="16"/>
              </w:rPr>
              <w:t>3.5 — incorporada nominalmente; autoria colaborativa registrada.</w:t>
            </w:r>
          </w:p>
        </w:tc>
      </w:tr>
      <w:tr>
        <w:trPr>
          <w:cantSplit/>
        </w:trPr>
        <w:tc>
          <w:tcPr>
            <w:tcW w:type="dxa" w:w="567"/>
            <w:vAlign w:val="top"/>
            <w:tcMar>
              <w:top w:w="70" w:type="dxa"/>
              <w:start w:w="70" w:type="dxa"/>
              <w:bottom w:w="70" w:type="dxa"/>
              <w:end w:w="70" w:type="dxa"/>
            </w:tcMar>
          </w:tcPr>
          <w:p>
            <w:pPr>
              <w:spacing w:after="0" w:line="240" w:lineRule="auto"/>
              <w:jc w:val="center"/>
            </w:pPr>
            <w:r>
              <w:rPr>
                <w:rFonts w:ascii="Times New Roman" w:hAnsi="Times New Roman"/>
                <w:b/>
                <w:sz w:val="16"/>
              </w:rPr>
              <w:t>R21</w:t>
            </w:r>
          </w:p>
        </w:tc>
        <w:tc>
          <w:tcPr>
            <w:tcW w:type="dxa" w:w="2835"/>
            <w:vAlign w:val="top"/>
            <w:tcMar>
              <w:top w:w="70" w:type="dxa"/>
              <w:start w:w="70" w:type="dxa"/>
              <w:bottom w:w="70" w:type="dxa"/>
              <w:end w:w="70" w:type="dxa"/>
            </w:tcMar>
          </w:tcPr>
          <w:p>
            <w:pPr>
              <w:spacing w:after="0" w:line="240" w:lineRule="auto"/>
            </w:pPr>
            <w:r>
              <w:rPr>
                <w:rFonts w:ascii="Times New Roman" w:hAnsi="Times New Roman"/>
                <w:sz w:val="16"/>
              </w:rPr>
              <w:t xml:space="preserve">IAB Brasil. IA na economia da criação de conteúdo: Escala, Autenticidade e Impacto (2025).</w:t>
            </w:r>
          </w:p>
        </w:tc>
        <w:tc>
          <w:tcPr>
            <w:tcW w:type="dxa" w:w="3231"/>
            <w:vAlign w:val="top"/>
            <w:tcMar>
              <w:top w:w="70" w:type="dxa"/>
              <w:start w:w="70" w:type="dxa"/>
              <w:bottom w:w="70" w:type="dxa"/>
              <w:end w:w="70" w:type="dxa"/>
            </w:tcMar>
          </w:tcPr>
          <w:p>
            <w:pPr>
              <w:spacing w:after="0" w:line="240" w:lineRule="auto"/>
            </w:pPr>
            <w:r>
              <w:rPr>
                <w:rFonts w:ascii="Times New Roman" w:hAnsi="Times New Roman"/>
                <w:sz w:val="16"/>
              </w:rPr>
              <w:t>Uso de IA, escala, autenticidade, conteúdo e novos formatos.</w:t>
            </w:r>
          </w:p>
        </w:tc>
        <w:tc>
          <w:tcPr>
            <w:tcW w:type="dxa" w:w="2721"/>
            <w:vAlign w:val="top"/>
            <w:tcMar>
              <w:top w:w="70" w:type="dxa"/>
              <w:start w:w="70" w:type="dxa"/>
              <w:bottom w:w="70" w:type="dxa"/>
              <w:end w:w="70" w:type="dxa"/>
            </w:tcMar>
          </w:tcPr>
          <w:p>
            <w:pPr>
              <w:spacing w:after="0" w:line="240" w:lineRule="auto"/>
            </w:pPr>
            <w:r>
              <w:rPr>
                <w:rFonts w:ascii="Times New Roman" w:hAnsi="Times New Roman"/>
                <w:sz w:val="16"/>
              </w:rPr>
              <w:t>3.7; 6.6 — incorporada e citada.</w:t>
            </w:r>
          </w:p>
        </w:tc>
      </w:tr>
      <w:tr>
        <w:trPr>
          <w:cantSplit/>
        </w:trPr>
        <w:tc>
          <w:tcPr>
            <w:tcW w:type="dxa" w:w="567"/>
            <w:vAlign w:val="top"/>
            <w:tcMar>
              <w:top w:w="70" w:type="dxa"/>
              <w:start w:w="70" w:type="dxa"/>
              <w:bottom w:w="70" w:type="dxa"/>
              <w:end w:w="70" w:type="dxa"/>
            </w:tcMar>
          </w:tcPr>
          <w:p>
            <w:pPr>
              <w:spacing w:after="0" w:line="240" w:lineRule="auto"/>
              <w:jc w:val="center"/>
            </w:pPr>
            <w:r>
              <w:rPr>
                <w:rFonts w:ascii="Times New Roman" w:hAnsi="Times New Roman"/>
                <w:b/>
                <w:sz w:val="16"/>
              </w:rPr>
              <w:t>R22</w:t>
            </w:r>
          </w:p>
        </w:tc>
        <w:tc>
          <w:tcPr>
            <w:tcW w:type="dxa" w:w="2835"/>
            <w:vAlign w:val="top"/>
            <w:tcMar>
              <w:top w:w="70" w:type="dxa"/>
              <w:start w:w="70" w:type="dxa"/>
              <w:bottom w:w="70" w:type="dxa"/>
              <w:end w:w="70" w:type="dxa"/>
            </w:tcMar>
          </w:tcPr>
          <w:p>
            <w:pPr>
              <w:spacing w:after="0" w:line="240" w:lineRule="auto"/>
            </w:pPr>
            <w:r>
              <w:rPr>
                <w:rFonts w:ascii="Times New Roman" w:hAnsi="Times New Roman"/>
                <w:sz w:val="16"/>
              </w:rPr>
              <w:t>IAB. AI Transparency &amp; Disclosure Framework V2 (18 ago. 2026).</w:t>
            </w:r>
          </w:p>
        </w:tc>
        <w:tc>
          <w:tcPr>
            <w:tcW w:type="dxa" w:w="3231"/>
            <w:vAlign w:val="top"/>
            <w:tcMar>
              <w:top w:w="70" w:type="dxa"/>
              <w:start w:w="70" w:type="dxa"/>
              <w:bottom w:w="70" w:type="dxa"/>
              <w:end w:w="70" w:type="dxa"/>
            </w:tcMar>
          </w:tcPr>
          <w:p>
            <w:pPr>
              <w:spacing w:after="0" w:line="240" w:lineRule="auto"/>
            </w:pPr>
            <w:r>
              <w:rPr>
                <w:rFonts w:ascii="Times New Roman" w:hAnsi="Times New Roman"/>
                <w:sz w:val="16"/>
              </w:rPr>
              <w:t>IA assistida/generativa, conteúdo sintético, voz sintética, digital twins e disclosure.</w:t>
            </w:r>
          </w:p>
        </w:tc>
        <w:tc>
          <w:tcPr>
            <w:tcW w:type="dxa" w:w="2721"/>
            <w:vAlign w:val="top"/>
            <w:tcMar>
              <w:top w:w="70" w:type="dxa"/>
              <w:start w:w="70" w:type="dxa"/>
              <w:bottom w:w="70" w:type="dxa"/>
              <w:end w:w="70" w:type="dxa"/>
            </w:tcMar>
          </w:tcPr>
          <w:p>
            <w:pPr>
              <w:spacing w:after="0" w:line="240" w:lineRule="auto"/>
            </w:pPr>
            <w:r>
              <w:rPr>
                <w:rFonts w:ascii="Times New Roman" w:hAnsi="Times New Roman"/>
                <w:sz w:val="16"/>
              </w:rPr>
              <w:t>3.7; 6.6 — incorporada e citada.</w:t>
            </w:r>
          </w:p>
        </w:tc>
      </w:tr>
    </w:tbl>
    <w:p>
      <w:pPr>
        <w:spacing w:before="120"/>
        <w:jc w:val="both"/>
      </w:pPr>
      <w:r>
        <w:t>Nota de fechamento: R19 foi conferida na fonte oficial da ISBA e normalizada como documento conjunto ISBA/IMTB, Version 4, publicado em 28 de novembro de 2024. R20 foi conferida na página oficial do EUIPO: os materiais IP for Influencers foram criados pelo EUIPO e pela Comissão Europeia e integram o Influencer Legal Hub. As referências completas e os endereços de acesso constam na seção Referências.</w:t>
      </w:r>
    </w:p>
    <w:p>
      <w:pPr>
        <w:spacing w:before="360"/>
      </w:pPr>
      <w:r>
        <w:t>Ana Maria Carvalheiro</w:t>
        <w:br/>
        <w:t>Pesquisadora responsável</w:t>
        <w:br/>
        <w:t>Brasília/DF - 16 de setembro de 2026</w:t>
      </w:r>
    </w:p>
    <w:sectPr>
      <w:headerReference r:id="rId5" w:type="default"/>
      <w:footerReference r:id="rId6" w:type="default"/>
      <w:pgSz w:w="12240" w:h="15840"/>
      <w:pgMar w:top="1701" w:right="1134" w:bottom="1134" w:left="1701" w:header="680" w:footer="680" w:gutter="0"/>
      <w:pgNumType w:start="1"/>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SimHei">
    <w:altName w:val="SimSun"/>
    <w:panose1 w:val="02010609060101010101"/>
    <w:charset w:val="86"/>
    <w:family w:val="modern"/>
    <w:pitch w:val="default"/>
    <w:sig w:usb0="800002BF" w:usb1="38CF7CFA" w:usb2="00000016" w:usb3="00000000" w:csb0="00040001"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SimSun"/>
    <w:panose1 w:val="00000000000000000000"/>
    <w:charset w:val="86"/>
    <w:family w:val="auto"/>
    <w:pitch w:val="default"/>
    <w:sig w:usb0="00000000" w:usb1="00000000" w:usb2="00000000" w:usb3="00000000" w:csb0="00000000" w:csb1="00000000"/>
  </w:font>
  <w:font w:name="MS Gothic">
    <w:panose1 w:val="020B0609070205080204"/>
    <w:charset w:val="80"/>
    <w:family w:val="modern"/>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C48317">
    <w:pPr>
      <w:pStyle w:val="27"/>
      <w:jc w:val="center"/>
    </w:pPr>
    <w:r>
      <w:rPr>
        <w:rFonts w:ascii="Times New Roman" w:hAnsi="Times New Roman"/>
        <w:sz w:val="20"/>
      </w:rPr>
      <w:fldChar w:fldCharType="begin"/>
    </w:r>
    <w:r>
      <w:rPr>
        <w:rFonts w:ascii="Times New Roman" w:hAnsi="Times New Roman"/>
        <w:sz w:val="20"/>
      </w:rPr>
      <w:instrText xml:space="preserve">PAGE</w:instrText>
    </w:r>
    <w:r>
      <w:rPr>
        <w:rFonts w:ascii="Times New Roman" w:hAnsi="Times New Roman"/>
        <w:sz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F492E4">
    <w:pPr>
      <w:pStyle w:val="25"/>
      <w:jc w:val="right"/>
    </w:pPr>
    <w:r>
      <w:rPr>
        <w:rFonts w:ascii="Times New Roman" w:hAnsi="Times New Roman"/>
        <w:sz w:val="18"/>
      </w:rPr>
      <w:t>Trama Digital | Ana Maria Carvalheiro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31"/>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2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19"/>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35"/>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34"/>
      <w:lvlText w:val=""/>
      <w:lvlJc w:val="left"/>
      <w:pPr>
        <w:tabs>
          <w:tab w:val="left" w:pos="360"/>
        </w:tabs>
        <w:ind w:left="360" w:hanging="360"/>
      </w:pPr>
      <w:rPr>
        <w:rFonts w:hint="default" w:ascii="Symbol" w:hAnsi="Symbol"/>
      </w:rPr>
    </w:lvl>
  </w:abstractNum>
  <w:num w:numId="1">
    <w:abstractNumId w:val="2"/>
  </w:num>
  <w:num w:numId="2">
    <w:abstractNumId w:val="3"/>
  </w:num>
  <w:num w:numId="3">
    <w:abstractNumId w:val="1"/>
  </w:num>
  <w:num w:numId="4">
    <w:abstractNumId w:val="0"/>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56FF6CC6"/>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doNotIncludeSubdocsInStats/>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qFormat="1" w:uiPriority="99" w:semiHidden="0" w:name="List"/>
    <w:lsdException w:uiPriority="99" w:semiHidden="0" w:name="List Bullet"/>
    <w:lsdException w:uiPriority="99" w:semiHidden="0" w:name="List Number"/>
    <w:lsdException w:uiPriority="99" w:semiHidden="0" w:name="List 2"/>
    <w:lsdException w:qFormat="1" w:uiPriority="99" w:semiHidden="0" w:name="List 3"/>
    <w:lsdException w:uiPriority="99" w:name="List 4"/>
    <w:lsdException w:uiPriority="99" w:name="List 5"/>
    <w:lsdException w:qFormat="1" w:uiPriority="99" w:semiHidden="0" w:name="List Bullet 2"/>
    <w:lsdException w:uiPriority="99" w:semiHidden="0" w:name="List Bullet 3"/>
    <w:lsdException w:uiPriority="99" w:name="List Bullet 4"/>
    <w:lsdException w:uiPriority="99" w:name="List Bullet 5"/>
    <w:lsdException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semiHidden="0" w:name="List Continue"/>
    <w:lsdException w:qFormat="1"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Theme="minorEastAsia" w:cstheme="minorBidi"/>
      <w:sz w:val="24"/>
      <w:szCs w:val="22"/>
      <w:lang w:val="en-US" w:eastAsia="en-US" w:bidi="ar-SA"/>
    </w:rPr>
  </w:style>
  <w:style w:type="paragraph" w:styleId="2">
    <w:name w:val="heading 1"/>
    <w:basedOn w:val="1"/>
    <w:next w:val="1"/>
    <w:link w:val="40"/>
    <w:qFormat/>
    <w:uiPriority w:val="9"/>
    <w:pPr>
      <w:keepNext/>
      <w:keepLines/>
      <w:spacing w:before="480" w:after="0"/>
      <w:outlineLvl w:val="0"/>
    </w:pPr>
    <w:rPr>
      <w:rFonts w:asciiTheme="majorHAnsi" w:hAnsiTheme="majorHAnsi" w:eastAsiaTheme="majorEastAsia" w:cstheme="majorBidi" w:ascii="Times New Roman" w:hAnsi="Times New Roman"/>
      <w:b/>
      <w:bCs/>
      <w:color w:val="376092" w:themeColor="accent1" w:themeShade="BF"/>
      <w:sz w:val="24"/>
      <w:szCs w:val="28"/>
    </w:rPr>
  </w:style>
  <w:style w:type="paragraph" w:styleId="3">
    <w:name w:val="heading 2"/>
    <w:basedOn w:val="1"/>
    <w:next w:val="1"/>
    <w:link w:val="41"/>
    <w:unhideWhenUsed/>
    <w:qFormat/>
    <w:uiPriority w:val="9"/>
    <w:pPr>
      <w:keepNext/>
      <w:keepLines/>
      <w:spacing w:before="200" w:after="0"/>
      <w:outlineLvl w:val="1"/>
    </w:pPr>
    <w:rPr>
      <w:rFonts w:asciiTheme="majorHAnsi" w:hAnsiTheme="majorHAnsi" w:eastAsiaTheme="majorEastAsia" w:cstheme="majorBidi" w:ascii="Times New Roman" w:hAnsi="Times New Roman"/>
      <w:b/>
      <w:bCs/>
      <w:color w:val="4F81BD" w:themeColor="accent1"/>
      <w:sz w:val="24"/>
      <w:szCs w:val="26"/>
      <w14:textFill>
        <w14:solidFill>
          <w14:schemeClr w14:val="accent1"/>
        </w14:solidFill>
      </w14:textFill>
    </w:rPr>
  </w:style>
  <w:style w:type="paragraph" w:styleId="4">
    <w:name w:val="heading 3"/>
    <w:basedOn w:val="1"/>
    <w:next w:val="1"/>
    <w:link w:val="42"/>
    <w:unhideWhenUsed/>
    <w:qFormat/>
    <w:uiPriority w:val="9"/>
    <w:pPr>
      <w:keepNext/>
      <w:keepLines/>
      <w:spacing w:before="200" w:after="0"/>
      <w:outlineLvl w:val="2"/>
    </w:pPr>
    <w:rPr>
      <w:rFonts w:asciiTheme="majorHAnsi" w:hAnsiTheme="majorHAnsi" w:eastAsiaTheme="majorEastAsia" w:cstheme="majorBidi"/>
      <w:b/>
      <w:bCs/>
      <w:color w:val="4F81BD" w:themeColor="accent1"/>
      <w:sz w:val="24"/>
      <w14:textFill>
        <w14:solidFill>
          <w14:schemeClr w14:val="accent1"/>
        </w14:solidFill>
      </w14:textFill>
    </w:rPr>
  </w:style>
  <w:style w:type="paragraph" w:styleId="5">
    <w:name w:val="heading 4"/>
    <w:basedOn w:val="1"/>
    <w:next w:val="1"/>
    <w:link w:val="52"/>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6">
    <w:name w:val="heading 5"/>
    <w:basedOn w:val="1"/>
    <w:next w:val="1"/>
    <w:link w:val="53"/>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7">
    <w:name w:val="heading 6"/>
    <w:basedOn w:val="1"/>
    <w:next w:val="1"/>
    <w:link w:val="54"/>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8">
    <w:name w:val="heading 7"/>
    <w:basedOn w:val="1"/>
    <w:next w:val="1"/>
    <w:link w:val="55"/>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9">
    <w:name w:val="heading 8"/>
    <w:basedOn w:val="1"/>
    <w:next w:val="1"/>
    <w:link w:val="56"/>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0">
    <w:name w:val="heading 9"/>
    <w:basedOn w:val="1"/>
    <w:next w:val="1"/>
    <w:link w:val="57"/>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character" w:styleId="13">
    <w:name w:val="Strong"/>
    <w:basedOn w:val="11"/>
    <w:qFormat/>
    <w:uiPriority w:val="22"/>
    <w:rPr>
      <w:b/>
      <w:bCs/>
    </w:rPr>
  </w:style>
  <w:style w:type="character" w:styleId="14">
    <w:name w:val="Emphasis"/>
    <w:basedOn w:val="11"/>
    <w:qFormat/>
    <w:uiPriority w:val="20"/>
    <w:rPr>
      <w:i/>
      <w:iCs/>
    </w:rPr>
  </w:style>
  <w:style w:type="paragraph" w:styleId="15">
    <w:name w:val="List"/>
    <w:basedOn w:val="1"/>
    <w:unhideWhenUsed/>
    <w:qFormat/>
    <w:uiPriority w:val="99"/>
    <w:pPr>
      <w:ind w:left="360" w:hanging="360"/>
      <w:contextualSpacing/>
    </w:pPr>
  </w:style>
  <w:style w:type="paragraph" w:styleId="16">
    <w:name w:val="Body Text"/>
    <w:basedOn w:val="1"/>
    <w:link w:val="46"/>
    <w:unhideWhenUsed/>
    <w:qFormat/>
    <w:uiPriority w:val="99"/>
    <w:pPr>
      <w:spacing w:after="120"/>
    </w:pPr>
  </w:style>
  <w:style w:type="paragraph" w:styleId="17">
    <w:name w:val="Title"/>
    <w:basedOn w:val="1"/>
    <w:next w:val="1"/>
    <w:link w:val="43"/>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paragraph" w:styleId="18">
    <w:name w:val="List Bullet 3"/>
    <w:basedOn w:val="1"/>
    <w:unhideWhenUsed/>
    <w:uiPriority w:val="99"/>
    <w:pPr>
      <w:numPr>
        <w:ilvl w:val="0"/>
        <w:numId w:val="1"/>
      </w:numPr>
      <w:contextualSpacing/>
    </w:pPr>
  </w:style>
  <w:style w:type="paragraph" w:styleId="19">
    <w:name w:val="List Bullet 2"/>
    <w:basedOn w:val="1"/>
    <w:unhideWhenUsed/>
    <w:qFormat/>
    <w:uiPriority w:val="99"/>
    <w:pPr>
      <w:numPr>
        <w:ilvl w:val="0"/>
        <w:numId w:val="2"/>
      </w:numPr>
      <w:contextualSpacing/>
    </w:pPr>
  </w:style>
  <w:style w:type="paragraph" w:styleId="20">
    <w:name w:val="macro"/>
    <w:link w:val="49"/>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21">
    <w:name w:val="List Continue"/>
    <w:basedOn w:val="1"/>
    <w:unhideWhenUsed/>
    <w:uiPriority w:val="99"/>
    <w:pPr>
      <w:spacing w:after="120"/>
      <w:ind w:left="360"/>
      <w:contextualSpacing/>
    </w:pPr>
  </w:style>
  <w:style w:type="paragraph" w:styleId="22">
    <w:name w:val="Body Text 3"/>
    <w:basedOn w:val="1"/>
    <w:link w:val="48"/>
    <w:unhideWhenUsed/>
    <w:qFormat/>
    <w:uiPriority w:val="99"/>
    <w:pPr>
      <w:spacing w:after="120"/>
    </w:pPr>
    <w:rPr>
      <w:sz w:val="16"/>
      <w:szCs w:val="16"/>
    </w:rPr>
  </w:style>
  <w:style w:type="paragraph" w:styleId="23">
    <w:name w:val="List Number 2"/>
    <w:basedOn w:val="1"/>
    <w:unhideWhenUsed/>
    <w:uiPriority w:val="99"/>
    <w:pPr>
      <w:numPr>
        <w:ilvl w:val="0"/>
        <w:numId w:val="3"/>
      </w:numPr>
      <w:contextualSpacing/>
    </w:pPr>
  </w:style>
  <w:style w:type="paragraph" w:styleId="24">
    <w:name w:val="Body Text 2"/>
    <w:basedOn w:val="1"/>
    <w:link w:val="47"/>
    <w:unhideWhenUsed/>
    <w:uiPriority w:val="99"/>
    <w:pPr>
      <w:spacing w:after="120" w:line="480" w:lineRule="auto"/>
    </w:pPr>
  </w:style>
  <w:style w:type="paragraph" w:styleId="25">
    <w:name w:val="header"/>
    <w:basedOn w:val="1"/>
    <w:link w:val="37"/>
    <w:unhideWhenUsed/>
    <w:qFormat/>
    <w:uiPriority w:val="99"/>
    <w:pPr>
      <w:tabs>
        <w:tab w:val="center" w:pos="4680"/>
        <w:tab w:val="right" w:pos="9360"/>
      </w:tabs>
      <w:spacing w:after="0" w:line="240" w:lineRule="auto"/>
    </w:pPr>
  </w:style>
  <w:style w:type="paragraph" w:styleId="26">
    <w:name w:val="List Continue 3"/>
    <w:basedOn w:val="1"/>
    <w:unhideWhenUsed/>
    <w:uiPriority w:val="99"/>
    <w:pPr>
      <w:spacing w:after="120"/>
      <w:ind w:left="1080"/>
      <w:contextualSpacing/>
    </w:pPr>
  </w:style>
  <w:style w:type="paragraph" w:styleId="27">
    <w:name w:val="footer"/>
    <w:basedOn w:val="1"/>
    <w:link w:val="38"/>
    <w:unhideWhenUsed/>
    <w:qFormat/>
    <w:uiPriority w:val="99"/>
    <w:pPr>
      <w:tabs>
        <w:tab w:val="center" w:pos="4680"/>
        <w:tab w:val="right" w:pos="9360"/>
      </w:tabs>
      <w:spacing w:after="0" w:line="240" w:lineRule="auto"/>
    </w:pPr>
  </w:style>
  <w:style w:type="paragraph" w:styleId="28">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29">
    <w:name w:val="List Continue 2"/>
    <w:basedOn w:val="1"/>
    <w:unhideWhenUsed/>
    <w:qFormat/>
    <w:uiPriority w:val="99"/>
    <w:pPr>
      <w:spacing w:after="120"/>
      <w:ind w:left="720"/>
      <w:contextualSpacing/>
    </w:pPr>
  </w:style>
  <w:style w:type="paragraph" w:styleId="30">
    <w:name w:val="List 3"/>
    <w:basedOn w:val="1"/>
    <w:unhideWhenUsed/>
    <w:qFormat/>
    <w:uiPriority w:val="99"/>
    <w:pPr>
      <w:ind w:left="1080" w:hanging="360"/>
      <w:contextualSpacing/>
    </w:pPr>
  </w:style>
  <w:style w:type="paragraph" w:styleId="31">
    <w:name w:val="List Number 3"/>
    <w:basedOn w:val="1"/>
    <w:unhideWhenUsed/>
    <w:qFormat/>
    <w:uiPriority w:val="99"/>
    <w:pPr>
      <w:numPr>
        <w:ilvl w:val="0"/>
        <w:numId w:val="4"/>
      </w:numPr>
      <w:contextualSpacing/>
    </w:pPr>
  </w:style>
  <w:style w:type="paragraph" w:styleId="32">
    <w:name w:val="Subtitle"/>
    <w:basedOn w:val="1"/>
    <w:next w:val="1"/>
    <w:link w:val="44"/>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33">
    <w:name w:val="List 2"/>
    <w:basedOn w:val="1"/>
    <w:unhideWhenUsed/>
    <w:uiPriority w:val="99"/>
    <w:pPr>
      <w:ind w:left="720" w:hanging="360"/>
      <w:contextualSpacing/>
    </w:pPr>
  </w:style>
  <w:style w:type="paragraph" w:styleId="34">
    <w:name w:val="List Bullet"/>
    <w:basedOn w:val="1"/>
    <w:unhideWhenUsed/>
    <w:uiPriority w:val="99"/>
    <w:pPr>
      <w:numPr>
        <w:ilvl w:val="0"/>
        <w:numId w:val="5"/>
      </w:numPr>
      <w:contextualSpacing/>
    </w:pPr>
  </w:style>
  <w:style w:type="paragraph" w:styleId="35">
    <w:name w:val="List Number"/>
    <w:basedOn w:val="1"/>
    <w:unhideWhenUsed/>
    <w:uiPriority w:val="99"/>
    <w:pPr>
      <w:numPr>
        <w:ilvl w:val="0"/>
        <w:numId w:val="6"/>
      </w:numPr>
      <w:contextualSpacing/>
    </w:pPr>
  </w:style>
  <w:style w:type="table" w:styleId="36">
    <w:name w:val="Table Grid"/>
    <w:basedOn w:val="1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37">
    <w:name w:val="Header Char"/>
    <w:basedOn w:val="11"/>
    <w:link w:val="25"/>
    <w:uiPriority w:val="99"/>
  </w:style>
  <w:style w:type="character" w:customStyle="1" w:styleId="38">
    <w:name w:val="Footer Char"/>
    <w:basedOn w:val="11"/>
    <w:link w:val="27"/>
    <w:qFormat/>
    <w:uiPriority w:val="99"/>
  </w:style>
  <w:style w:type="paragraph" w:styleId="39">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40">
    <w:name w:val="Heading 1 Char"/>
    <w:basedOn w:val="11"/>
    <w:link w:val="2"/>
    <w:qFormat/>
    <w:uiPriority w:val="9"/>
    <w:rPr>
      <w:rFonts w:asciiTheme="majorHAnsi" w:hAnsiTheme="majorHAnsi" w:eastAsiaTheme="majorEastAsia" w:cstheme="majorBidi"/>
      <w:b/>
      <w:bCs/>
      <w:color w:val="376092" w:themeColor="accent1" w:themeShade="BF"/>
      <w:sz w:val="28"/>
      <w:szCs w:val="28"/>
    </w:rPr>
  </w:style>
  <w:style w:type="character" w:customStyle="1" w:styleId="41">
    <w:name w:val="Heading 2 Char"/>
    <w:basedOn w:val="11"/>
    <w:link w:val="3"/>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42">
    <w:name w:val="Heading 3 Char"/>
    <w:basedOn w:val="11"/>
    <w:link w:val="4"/>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43">
    <w:name w:val="Title Char"/>
    <w:basedOn w:val="11"/>
    <w:link w:val="17"/>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44">
    <w:name w:val="Subtitle Char"/>
    <w:basedOn w:val="11"/>
    <w:link w:val="3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45">
    <w:name w:val="List Paragraph"/>
    <w:basedOn w:val="1"/>
    <w:qFormat/>
    <w:uiPriority w:val="34"/>
    <w:pPr>
      <w:ind w:left="720"/>
      <w:contextualSpacing/>
    </w:pPr>
  </w:style>
  <w:style w:type="character" w:customStyle="1" w:styleId="46">
    <w:name w:val="Body Text Char"/>
    <w:basedOn w:val="11"/>
    <w:link w:val="16"/>
    <w:qFormat/>
    <w:uiPriority w:val="99"/>
  </w:style>
  <w:style w:type="character" w:customStyle="1" w:styleId="47">
    <w:name w:val="Body Text 2 Char"/>
    <w:basedOn w:val="11"/>
    <w:link w:val="24"/>
    <w:qFormat/>
    <w:uiPriority w:val="99"/>
  </w:style>
  <w:style w:type="character" w:customStyle="1" w:styleId="48">
    <w:name w:val="Body Text 3 Char"/>
    <w:basedOn w:val="11"/>
    <w:link w:val="22"/>
    <w:uiPriority w:val="99"/>
    <w:rPr>
      <w:sz w:val="16"/>
      <w:szCs w:val="16"/>
    </w:rPr>
  </w:style>
  <w:style w:type="character" w:customStyle="1" w:styleId="49">
    <w:name w:val="Macro Text Char"/>
    <w:basedOn w:val="11"/>
    <w:link w:val="20"/>
    <w:uiPriority w:val="99"/>
    <w:rPr>
      <w:rFonts w:ascii="Courier" w:hAnsi="Courier"/>
      <w:sz w:val="20"/>
      <w:szCs w:val="20"/>
    </w:rPr>
  </w:style>
  <w:style w:type="paragraph" w:styleId="50">
    <w:name w:val="Quote"/>
    <w:basedOn w:val="1"/>
    <w:next w:val="1"/>
    <w:link w:val="51"/>
    <w:qFormat/>
    <w:uiPriority w:val="29"/>
    <w:rPr>
      <w:i/>
      <w:iCs/>
      <w:color w:val="000000" w:themeColor="text1"/>
      <w14:textFill>
        <w14:solidFill>
          <w14:schemeClr w14:val="tx1"/>
        </w14:solidFill>
      </w14:textFill>
    </w:rPr>
  </w:style>
  <w:style w:type="character" w:customStyle="1" w:styleId="51">
    <w:name w:val="Quote Char"/>
    <w:basedOn w:val="11"/>
    <w:link w:val="50"/>
    <w:uiPriority w:val="29"/>
    <w:rPr>
      <w:i/>
      <w:iCs/>
      <w:color w:val="000000" w:themeColor="text1"/>
      <w14:textFill>
        <w14:solidFill>
          <w14:schemeClr w14:val="tx1"/>
        </w14:solidFill>
      </w14:textFill>
    </w:rPr>
  </w:style>
  <w:style w:type="character" w:customStyle="1" w:styleId="52">
    <w:name w:val="Heading 4 Char"/>
    <w:basedOn w:val="11"/>
    <w:link w:val="5"/>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53">
    <w:name w:val="Heading 5 Char"/>
    <w:basedOn w:val="11"/>
    <w:link w:val="6"/>
    <w:semiHidden/>
    <w:uiPriority w:val="9"/>
    <w:rPr>
      <w:rFonts w:asciiTheme="majorHAnsi" w:hAnsiTheme="majorHAnsi" w:eastAsiaTheme="majorEastAsia" w:cstheme="majorBidi"/>
      <w:color w:val="254061" w:themeColor="accent1" w:themeShade="80"/>
    </w:rPr>
  </w:style>
  <w:style w:type="character" w:customStyle="1" w:styleId="54">
    <w:name w:val="Heading 6 Char"/>
    <w:basedOn w:val="11"/>
    <w:link w:val="7"/>
    <w:semiHidden/>
    <w:uiPriority w:val="9"/>
    <w:rPr>
      <w:rFonts w:asciiTheme="majorHAnsi" w:hAnsiTheme="majorHAnsi" w:eastAsiaTheme="majorEastAsia" w:cstheme="majorBidi"/>
      <w:i/>
      <w:iCs/>
      <w:color w:val="254061" w:themeColor="accent1" w:themeShade="80"/>
    </w:rPr>
  </w:style>
  <w:style w:type="character" w:customStyle="1" w:styleId="55">
    <w:name w:val="Heading 7 Char"/>
    <w:basedOn w:val="11"/>
    <w:link w:val="8"/>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56">
    <w:name w:val="Heading 8 Char"/>
    <w:basedOn w:val="11"/>
    <w:link w:val="9"/>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57">
    <w:name w:val="Heading 9 Char"/>
    <w:basedOn w:val="11"/>
    <w:link w:val="10"/>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58">
    <w:name w:val="Intense Quote"/>
    <w:basedOn w:val="1"/>
    <w:next w:val="1"/>
    <w:link w:val="59"/>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59">
    <w:name w:val="Intense Quote Char"/>
    <w:basedOn w:val="11"/>
    <w:link w:val="58"/>
    <w:uiPriority w:val="30"/>
    <w:rPr>
      <w:b/>
      <w:bCs/>
      <w:i/>
      <w:iCs/>
      <w:color w:val="4F81BD" w:themeColor="accent1"/>
      <w14:textFill>
        <w14:solidFill>
          <w14:schemeClr w14:val="accent1"/>
        </w14:solidFill>
      </w14:textFill>
    </w:rPr>
  </w:style>
  <w:style w:type="character" w:customStyle="1" w:styleId="60">
    <w:name w:val="Subtle Emphasis"/>
    <w:basedOn w:val="11"/>
    <w:qFormat/>
    <w:uiPriority w:val="19"/>
    <w:rPr>
      <w:i/>
      <w:iCs/>
      <w:color w:val="808080" w:themeColor="text1" w:themeTint="80"/>
      <w14:textFill>
        <w14:solidFill>
          <w14:schemeClr w14:val="tx1">
            <w14:lumMod w14:val="50000"/>
            <w14:lumOff w14:val="50000"/>
          </w14:schemeClr>
        </w14:solidFill>
      </w14:textFill>
    </w:rPr>
  </w:style>
  <w:style w:type="character" w:customStyle="1" w:styleId="61">
    <w:name w:val="Intense Emphasis"/>
    <w:basedOn w:val="11"/>
    <w:qFormat/>
    <w:uiPriority w:val="21"/>
    <w:rPr>
      <w:b/>
      <w:bCs/>
      <w:i/>
      <w:iCs/>
      <w:color w:val="4F81BD" w:themeColor="accent1"/>
      <w14:textFill>
        <w14:solidFill>
          <w14:schemeClr w14:val="accent1"/>
        </w14:solidFill>
      </w14:textFill>
    </w:rPr>
  </w:style>
  <w:style w:type="character" w:customStyle="1" w:styleId="62">
    <w:name w:val="Subtle Reference"/>
    <w:basedOn w:val="11"/>
    <w:qFormat/>
    <w:uiPriority w:val="31"/>
    <w:rPr>
      <w:smallCaps/>
      <w:color w:val="C0504D" w:themeColor="accent2"/>
      <w:u w:val="single"/>
      <w14:textFill>
        <w14:solidFill>
          <w14:schemeClr w14:val="accent2"/>
        </w14:solidFill>
      </w14:textFill>
    </w:rPr>
  </w:style>
  <w:style w:type="character" w:customStyle="1" w:styleId="63">
    <w:name w:val="Intense Reference"/>
    <w:basedOn w:val="11"/>
    <w:qFormat/>
    <w:uiPriority w:val="32"/>
    <w:rPr>
      <w:b/>
      <w:bCs/>
      <w:smallCaps/>
      <w:color w:val="C0504D" w:themeColor="accent2"/>
      <w:spacing w:val="5"/>
      <w:u w:val="single"/>
      <w14:textFill>
        <w14:solidFill>
          <w14:schemeClr w14:val="accent2"/>
        </w14:solidFill>
      </w14:textFill>
    </w:rPr>
  </w:style>
  <w:style w:type="character" w:customStyle="1" w:styleId="64">
    <w:name w:val="Book Title"/>
    <w:basedOn w:val="11"/>
    <w:qFormat/>
    <w:uiPriority w:val="33"/>
    <w:rPr>
      <w:b/>
      <w:bCs/>
      <w:smallCaps/>
      <w:spacing w:val="5"/>
    </w:rPr>
  </w:style>
  <w:style w:type="paragraph" w:customStyle="1" w:styleId="65">
    <w:name w:val="TOC Heading"/>
    <w:basedOn w:val="2"/>
    <w:next w:val="1"/>
    <w:semiHidden/>
    <w:unhideWhenUsed/>
    <w:qFormat/>
    <w:uiPriority w:val="39"/>
    <w:pPr>
      <w:outlineLvl w:val="9"/>
    </w:pPr>
  </w:style>
  <w:style w:type="table" w:styleId="66">
    <w:name w:val="Light Shading"/>
    <w:basedOn w:val="1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BFBFBF" w:themeFill="text1" w:themeFillTint="3F"/>
      </w:tcPr>
    </w:tblStylePr>
    <w:tblStylePr w:type="band1Horz">
      <w:tcPr>
        <w:tcBorders>
          <w:left w:val="nil"/>
          <w:right w:val="nil"/>
          <w:insideH w:val="nil"/>
          <w:insideV w:val="nil"/>
        </w:tcBorders>
        <w:shd w:val="clear" w:color="auto" w:fill="BFBFBF" w:themeFill="text1" w:themeFillTint="3F"/>
      </w:tcPr>
    </w:tblStylePr>
  </w:style>
  <w:style w:type="table" w:styleId="67">
    <w:name w:val="Light Shading Accent 1"/>
    <w:basedOn w:val="1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D3DFEE" w:themeFill="accent1" w:themeFillTint="3F"/>
      </w:tcPr>
    </w:tblStylePr>
    <w:tblStylePr w:type="band1Horz">
      <w:tcPr>
        <w:tcBorders>
          <w:left w:val="nil"/>
          <w:right w:val="nil"/>
          <w:insideH w:val="nil"/>
          <w:insideV w:val="nil"/>
        </w:tcBorders>
        <w:shd w:val="clear" w:color="auto" w:fill="D3DFEE" w:themeFill="accent1" w:themeFillTint="3F"/>
      </w:tcPr>
    </w:tblStylePr>
  </w:style>
  <w:style w:type="table" w:styleId="68">
    <w:name w:val="Light Shading Accent 2"/>
    <w:basedOn w:val="1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EFD3D3" w:themeFill="accent2" w:themeFillTint="3F"/>
      </w:tcPr>
    </w:tblStylePr>
    <w:tblStylePr w:type="band1Horz">
      <w:tcPr>
        <w:tcBorders>
          <w:left w:val="nil"/>
          <w:right w:val="nil"/>
          <w:insideH w:val="nil"/>
          <w:insideV w:val="nil"/>
        </w:tcBorders>
        <w:shd w:val="clear" w:color="auto" w:fill="EFD3D3" w:themeFill="accent2" w:themeFillTint="3F"/>
      </w:tcPr>
    </w:tblStylePr>
  </w:style>
  <w:style w:type="table" w:styleId="69">
    <w:name w:val="Light Shading Accent 3"/>
    <w:basedOn w:val="1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E6EED5" w:themeFill="accent3" w:themeFillTint="3F"/>
      </w:tcPr>
    </w:tblStylePr>
    <w:tblStylePr w:type="band1Horz">
      <w:tcPr>
        <w:tcBorders>
          <w:left w:val="nil"/>
          <w:right w:val="nil"/>
          <w:insideH w:val="nil"/>
          <w:insideV w:val="nil"/>
        </w:tcBorders>
        <w:shd w:val="clear" w:color="auto" w:fill="E6EED5" w:themeFill="accent3" w:themeFillTint="3F"/>
      </w:tcPr>
    </w:tblStylePr>
  </w:style>
  <w:style w:type="table" w:styleId="70">
    <w:name w:val="Light Shading Accent 4"/>
    <w:basedOn w:val="1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DFD8E8" w:themeFill="accent4" w:themeFillTint="3F"/>
      </w:tcPr>
    </w:tblStylePr>
    <w:tblStylePr w:type="band1Horz">
      <w:tcPr>
        <w:tcBorders>
          <w:left w:val="nil"/>
          <w:right w:val="nil"/>
          <w:insideH w:val="nil"/>
          <w:insideV w:val="nil"/>
        </w:tcBorders>
        <w:shd w:val="clear" w:color="auto" w:fill="DFD8E8" w:themeFill="accent4" w:themeFillTint="3F"/>
      </w:tcPr>
    </w:tblStylePr>
  </w:style>
  <w:style w:type="table" w:styleId="71">
    <w:name w:val="Light Shading Accent 5"/>
    <w:basedOn w:val="1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D2EAF0" w:themeFill="accent5" w:themeFillTint="3F"/>
      </w:tcPr>
    </w:tblStylePr>
    <w:tblStylePr w:type="band1Horz">
      <w:tcPr>
        <w:tcBorders>
          <w:left w:val="nil"/>
          <w:right w:val="nil"/>
          <w:insideH w:val="nil"/>
          <w:insideV w:val="nil"/>
        </w:tcBorders>
        <w:shd w:val="clear" w:color="auto" w:fill="D2EAF0" w:themeFill="accent5" w:themeFillTint="3F"/>
      </w:tcPr>
    </w:tblStylePr>
  </w:style>
  <w:style w:type="table" w:styleId="72">
    <w:name w:val="Light Shading Accent 6"/>
    <w:basedOn w:val="1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FDE5D1" w:themeFill="accent6" w:themeFillTint="3F"/>
      </w:tcPr>
    </w:tblStylePr>
    <w:tblStylePr w:type="band1Horz">
      <w:tcPr>
        <w:tcBorders>
          <w:left w:val="nil"/>
          <w:right w:val="nil"/>
          <w:insideH w:val="nil"/>
          <w:insideV w:val="nil"/>
        </w:tcBorders>
        <w:shd w:val="clear" w:color="auto" w:fill="FDE5D1" w:themeFill="accent6" w:themeFillTint="3F"/>
      </w:tcPr>
    </w:tblStylePr>
  </w:style>
  <w:style w:type="table" w:styleId="73">
    <w:name w:val="Light List"/>
    <w:basedOn w:val="1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shd w:val="clear" w:color="auto" w:fill="000000" w:themeFill="text1"/>
      </w:tcPr>
    </w:tblStylePr>
    <w:tblStylePr w:type="lastRow">
      <w:pPr>
        <w:spacing w:before="0" w:after="0" w:line="240" w:lineRule="auto"/>
      </w:pPr>
      <w:rPr>
        <w:b/>
        <w:bCs/>
      </w:r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74">
    <w:name w:val="Light List Accent 1"/>
    <w:basedOn w:val="1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shd w:val="clear" w:color="auto" w:fill="4F81BD" w:themeFill="accent1"/>
      </w:tcPr>
    </w:tblStylePr>
    <w:tblStylePr w:type="lastRow">
      <w:pPr>
        <w:spacing w:before="0" w:after="0" w:line="240" w:lineRule="auto"/>
      </w:pPr>
      <w:rPr>
        <w:b/>
        <w:bCs/>
      </w:r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75">
    <w:name w:val="Light List Accent 2"/>
    <w:basedOn w:val="1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shd w:val="clear" w:color="auto" w:fill="C0504D" w:themeFill="accent2"/>
      </w:tcPr>
    </w:tblStylePr>
    <w:tblStylePr w:type="lastRow">
      <w:pPr>
        <w:spacing w:before="0" w:after="0" w:line="240" w:lineRule="auto"/>
      </w:pPr>
      <w:rPr>
        <w:b/>
        <w:bCs/>
      </w:r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76">
    <w:name w:val="Light List Accent 3"/>
    <w:basedOn w:val="1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shd w:val="clear" w:color="auto" w:fill="9BBB59" w:themeFill="accent3"/>
      </w:tcPr>
    </w:tblStylePr>
    <w:tblStylePr w:type="lastRow">
      <w:pPr>
        <w:spacing w:before="0" w:after="0" w:line="240" w:lineRule="auto"/>
      </w:pPr>
      <w:rPr>
        <w:b/>
        <w:bCs/>
      </w:r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77">
    <w:name w:val="Light List Accent 4"/>
    <w:basedOn w:val="1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shd w:val="clear" w:color="auto" w:fill="8064A2" w:themeFill="accent4"/>
      </w:tcPr>
    </w:tblStylePr>
    <w:tblStylePr w:type="lastRow">
      <w:pPr>
        <w:spacing w:before="0" w:after="0" w:line="240" w:lineRule="auto"/>
      </w:pPr>
      <w:rPr>
        <w:b/>
        <w:bCs/>
      </w:r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78">
    <w:name w:val="Light List Accent 5"/>
    <w:basedOn w:val="1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shd w:val="clear" w:color="auto" w:fill="4BACC6" w:themeFill="accent5"/>
      </w:tcPr>
    </w:tblStylePr>
    <w:tblStylePr w:type="lastRow">
      <w:pPr>
        <w:spacing w:before="0" w:after="0" w:line="240" w:lineRule="auto"/>
      </w:pPr>
      <w:rPr>
        <w:b/>
        <w:bCs/>
      </w:r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79">
    <w:name w:val="Light List Accent 6"/>
    <w:basedOn w:val="1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shd w:val="clear" w:color="auto" w:fill="F79646" w:themeFill="accent6"/>
      </w:tcPr>
    </w:tblStylePr>
    <w:tblStylePr w:type="lastRow">
      <w:pPr>
        <w:spacing w:before="0" w:after="0" w:line="240" w:lineRule="auto"/>
      </w:pPr>
      <w:rPr>
        <w:b/>
        <w:bCs/>
      </w:r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80">
    <w:name w:val="Light Grid"/>
    <w:basedOn w:val="1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81">
    <w:name w:val="Light Grid Accent 1"/>
    <w:basedOn w:val="1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82">
    <w:name w:val="Light Grid Accent 2"/>
    <w:basedOn w:val="1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83">
    <w:name w:val="Light Grid Accent 3"/>
    <w:basedOn w:val="1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84">
    <w:name w:val="Light Grid Accent 4"/>
    <w:basedOn w:val="1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85">
    <w:name w:val="Light Grid Accent 5"/>
    <w:basedOn w:val="1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86">
    <w:name w:val="Light Grid Accent 6"/>
    <w:basedOn w:val="1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87">
    <w:name w:val="Medium Shading 1"/>
    <w:basedOn w:val="1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cPr>
        <w:shd w:val="clear" w:color="auto" w:fill="BFBFBF" w:themeFill="text1" w:themeFillTint="3F"/>
      </w:tcPr>
    </w:tblStylePr>
    <w:tblStylePr w:type="band1Horz">
      <w:tcPr>
        <w:tcBorders>
          <w:insideH w:val="nil"/>
          <w:insideV w:val="nil"/>
        </w:tcBorders>
        <w:shd w:val="clear" w:color="auto" w:fill="BFBFBF" w:themeFill="text1" w:themeFillTint="3F"/>
      </w:tcPr>
    </w:tblStylePr>
    <w:tblStylePr w:type="band2Horz">
      <w:tcPr>
        <w:tcBorders>
          <w:insideH w:val="nil"/>
          <w:insideV w:val="nil"/>
        </w:tcBorders>
      </w:tcPr>
    </w:tblStylePr>
  </w:style>
  <w:style w:type="table" w:styleId="88">
    <w:name w:val="Medium Shading 1 Accent 1"/>
    <w:basedOn w:val="1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cPr>
        <w:shd w:val="clear" w:color="auto" w:fill="D3DFEE" w:themeFill="accent1" w:themeFillTint="3F"/>
      </w:tcPr>
    </w:tblStylePr>
    <w:tblStylePr w:type="band1Horz">
      <w:tcPr>
        <w:tcBorders>
          <w:insideH w:val="nil"/>
          <w:insideV w:val="nil"/>
        </w:tcBorders>
        <w:shd w:val="clear" w:color="auto" w:fill="D3DFEE" w:themeFill="accent1" w:themeFillTint="3F"/>
      </w:tcPr>
    </w:tblStylePr>
    <w:tblStylePr w:type="band2Horz">
      <w:tcPr>
        <w:tcBorders>
          <w:insideH w:val="nil"/>
          <w:insideV w:val="nil"/>
        </w:tcBorders>
      </w:tcPr>
    </w:tblStylePr>
  </w:style>
  <w:style w:type="table" w:styleId="89">
    <w:name w:val="Medium Shading 1 Accent 2"/>
    <w:basedOn w:val="1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cPr>
        <w:shd w:val="clear" w:color="auto" w:fill="EFD3D3" w:themeFill="accent2" w:themeFillTint="3F"/>
      </w:tcPr>
    </w:tblStylePr>
    <w:tblStylePr w:type="band1Horz">
      <w:tcPr>
        <w:tcBorders>
          <w:insideH w:val="nil"/>
          <w:insideV w:val="nil"/>
        </w:tcBorders>
        <w:shd w:val="clear" w:color="auto" w:fill="EFD3D3" w:themeFill="accent2" w:themeFillTint="3F"/>
      </w:tcPr>
    </w:tblStylePr>
    <w:tblStylePr w:type="band2Horz">
      <w:tcPr>
        <w:tcBorders>
          <w:insideH w:val="nil"/>
          <w:insideV w:val="nil"/>
        </w:tcBorders>
      </w:tcPr>
    </w:tblStylePr>
  </w:style>
  <w:style w:type="table" w:styleId="90">
    <w:name w:val="Medium Shading 1 Accent 3"/>
    <w:basedOn w:val="1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cPr>
        <w:shd w:val="clear" w:color="auto" w:fill="E6EED5" w:themeFill="accent3" w:themeFillTint="3F"/>
      </w:tcPr>
    </w:tblStylePr>
    <w:tblStylePr w:type="band1Horz">
      <w:tcPr>
        <w:tcBorders>
          <w:insideH w:val="nil"/>
          <w:insideV w:val="nil"/>
        </w:tcBorders>
        <w:shd w:val="clear" w:color="auto" w:fill="E6EED5" w:themeFill="accent3" w:themeFillTint="3F"/>
      </w:tcPr>
    </w:tblStylePr>
    <w:tblStylePr w:type="band2Horz">
      <w:tcPr>
        <w:tcBorders>
          <w:insideH w:val="nil"/>
          <w:insideV w:val="nil"/>
        </w:tcBorders>
      </w:tcPr>
    </w:tblStylePr>
  </w:style>
  <w:style w:type="table" w:styleId="91">
    <w:name w:val="Medium Shading 1 Accent 4"/>
    <w:basedOn w:val="1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cPr>
        <w:shd w:val="clear" w:color="auto" w:fill="DFD8E8" w:themeFill="accent4" w:themeFillTint="3F"/>
      </w:tcPr>
    </w:tblStylePr>
    <w:tblStylePr w:type="band1Horz">
      <w:tcPr>
        <w:tcBorders>
          <w:insideH w:val="nil"/>
          <w:insideV w:val="nil"/>
        </w:tcBorders>
        <w:shd w:val="clear" w:color="auto" w:fill="DFD8E8" w:themeFill="accent4" w:themeFillTint="3F"/>
      </w:tcPr>
    </w:tblStylePr>
    <w:tblStylePr w:type="band2Horz">
      <w:tcPr>
        <w:tcBorders>
          <w:insideH w:val="nil"/>
          <w:insideV w:val="nil"/>
        </w:tcBorders>
      </w:tcPr>
    </w:tblStylePr>
  </w:style>
  <w:style w:type="table" w:styleId="92">
    <w:name w:val="Medium Shading 1 Accent 5"/>
    <w:basedOn w:val="1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cPr>
        <w:shd w:val="clear" w:color="auto" w:fill="D2EAF0" w:themeFill="accent5" w:themeFillTint="3F"/>
      </w:tcPr>
    </w:tblStylePr>
    <w:tblStylePr w:type="band1Horz">
      <w:tcPr>
        <w:tcBorders>
          <w:insideH w:val="nil"/>
          <w:insideV w:val="nil"/>
        </w:tcBorders>
        <w:shd w:val="clear" w:color="auto" w:fill="D2EAF0" w:themeFill="accent5" w:themeFillTint="3F"/>
      </w:tcPr>
    </w:tblStylePr>
    <w:tblStylePr w:type="band2Horz">
      <w:tcPr>
        <w:tcBorders>
          <w:insideH w:val="nil"/>
          <w:insideV w:val="nil"/>
        </w:tcBorders>
      </w:tcPr>
    </w:tblStylePr>
  </w:style>
  <w:style w:type="table" w:styleId="93">
    <w:name w:val="Medium Shading 1 Accent 6"/>
    <w:basedOn w:val="1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cPr>
        <w:shd w:val="clear" w:color="auto" w:fill="FDE5D1" w:themeFill="accent6" w:themeFillTint="3F"/>
      </w:tcPr>
    </w:tblStylePr>
    <w:tblStylePr w:type="band1Horz">
      <w:tcPr>
        <w:tcBorders>
          <w:insideH w:val="nil"/>
          <w:insideV w:val="nil"/>
        </w:tcBorders>
        <w:shd w:val="clear" w:color="auto" w:fill="FDE5D1" w:themeFill="accent6" w:themeFillTint="3F"/>
      </w:tcPr>
    </w:tblStylePr>
    <w:tblStylePr w:type="band2Horz">
      <w:tcPr>
        <w:tcBorders>
          <w:insideH w:val="nil"/>
          <w:insideV w:val="nil"/>
        </w:tcBorders>
      </w:tcPr>
    </w:tblStylePr>
  </w:style>
  <w:style w:type="table" w:styleId="94">
    <w:name w:val="Medium Shading 2"/>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000000" w:themeFill="text1"/>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styleId="95">
    <w:name w:val="Medium Shading 2 Accent 1"/>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4F81BD" w:themeFill="accent1"/>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styleId="96">
    <w:name w:val="Medium Shading 2 Accent 2"/>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C0504D" w:themeFill="accent2"/>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styleId="97">
    <w:name w:val="Medium Shading 2 Accent 3"/>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9BBB59" w:themeFill="accent3"/>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styleId="98">
    <w:name w:val="Medium Shading 2 Accent 4"/>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8064A2" w:themeFill="accent4"/>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styleId="99">
    <w:name w:val="Medium Shading 2 Accent 5"/>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4BACC6" w:themeFill="accent5"/>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styleId="100">
    <w:name w:val="Medium Shading 2 Accent 6"/>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F79646" w:themeFill="accent6"/>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styleId="101">
    <w:name w:val="Medium List 1"/>
    <w:basedOn w:val="1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000000" w:themeColor="text1" w:sz="8" w:space="0"/>
        </w:tcBorders>
      </w:tcPr>
    </w:tblStylePr>
    <w:tblStylePr w:type="lastRow">
      <w:rPr>
        <w:b/>
        <w:bCs/>
        <w:color w:val="1F497D" w:themeColor="text2"/>
        <w14:textFill>
          <w14:solidFill>
            <w14:schemeClr w14:val="tx2"/>
          </w14:solidFill>
        </w14:textFill>
      </w:rPr>
      <w:tcPr>
        <w:tcBorders>
          <w:top w:val="single" w:color="000000" w:themeColor="text1" w:sz="8" w:space="0"/>
          <w:bottom w:val="single" w:color="000000" w:themeColor="text1" w:sz="8" w:space="0"/>
        </w:tcBorders>
      </w:tcPr>
    </w:tblStylePr>
    <w:tblStylePr w:type="firstCol">
      <w:rPr>
        <w:b/>
        <w:bCs/>
      </w:rPr>
    </w:tblStylePr>
    <w:tblStylePr w:type="lastCol">
      <w:rPr>
        <w:b/>
        <w:bCs/>
      </w:rPr>
      <w:tcPr>
        <w:tcBorders>
          <w:top w:val="single" w:color="000000" w:themeColor="text1" w:sz="8" w:space="0"/>
          <w:bottom w:val="single" w:color="000000" w:themeColor="text1" w:sz="8" w:space="0"/>
        </w:tcBorders>
      </w:tcPr>
    </w:tblStylePr>
    <w:tblStylePr w:type="band1Vert">
      <w:tcPr>
        <w:shd w:val="clear" w:color="auto" w:fill="BFBFBF" w:themeFill="text1" w:themeFillTint="3F"/>
      </w:tcPr>
    </w:tblStylePr>
    <w:tblStylePr w:type="band1Horz">
      <w:tcPr>
        <w:shd w:val="clear" w:color="auto" w:fill="BFBFBF" w:themeFill="text1" w:themeFillTint="3F"/>
      </w:tcPr>
    </w:tblStylePr>
  </w:style>
  <w:style w:type="table" w:styleId="102">
    <w:name w:val="Medium List 1 Accent 1"/>
    <w:basedOn w:val="1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4F81BD" w:themeColor="accent1" w:sz="8" w:space="0"/>
        </w:tcBorders>
      </w:tcPr>
    </w:tblStylePr>
    <w:tblStylePr w:type="lastRow">
      <w:rPr>
        <w:b/>
        <w:bCs/>
        <w:color w:val="1F497D" w:themeColor="text2"/>
        <w14:textFill>
          <w14:solidFill>
            <w14:schemeClr w14:val="tx2"/>
          </w14:solidFill>
        </w14:textFill>
      </w:rPr>
      <w:tcPr>
        <w:tcBorders>
          <w:top w:val="single" w:color="4F81BD" w:themeColor="accent1" w:sz="8" w:space="0"/>
          <w:bottom w:val="single" w:color="4F81BD" w:themeColor="accent1" w:sz="8" w:space="0"/>
        </w:tcBorders>
      </w:tcPr>
    </w:tblStylePr>
    <w:tblStylePr w:type="firstCol">
      <w:rPr>
        <w:b/>
        <w:bCs/>
      </w:rPr>
    </w:tblStylePr>
    <w:tblStylePr w:type="lastCol">
      <w:rPr>
        <w:b/>
        <w:bCs/>
      </w:rPr>
      <w:tcPr>
        <w:tcBorders>
          <w:top w:val="single" w:color="4F81BD" w:themeColor="accent1" w:sz="8" w:space="0"/>
          <w:bottom w:val="single" w:color="4F81BD" w:themeColor="accent1" w:sz="8" w:space="0"/>
        </w:tcBorders>
      </w:tcPr>
    </w:tblStylePr>
    <w:tblStylePr w:type="band1Vert">
      <w:tcPr>
        <w:shd w:val="clear" w:color="auto" w:fill="D3DFEE" w:themeFill="accent1" w:themeFillTint="3F"/>
      </w:tcPr>
    </w:tblStylePr>
    <w:tblStylePr w:type="band1Horz">
      <w:tcPr>
        <w:shd w:val="clear" w:color="auto" w:fill="D3DFEE" w:themeFill="accent1" w:themeFillTint="3F"/>
      </w:tcPr>
    </w:tblStylePr>
  </w:style>
  <w:style w:type="table" w:styleId="103">
    <w:name w:val="Medium List 1 Accent 2"/>
    <w:basedOn w:val="1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C0504D" w:themeColor="accent2" w:sz="8" w:space="0"/>
        </w:tcBorders>
      </w:tcPr>
    </w:tblStylePr>
    <w:tblStylePr w:type="lastRow">
      <w:rPr>
        <w:b/>
        <w:bCs/>
        <w:color w:val="1F497D" w:themeColor="text2"/>
        <w14:textFill>
          <w14:solidFill>
            <w14:schemeClr w14:val="tx2"/>
          </w14:solidFill>
        </w14:textFill>
      </w:rPr>
      <w:tcPr>
        <w:tcBorders>
          <w:top w:val="single" w:color="C0504D" w:themeColor="accent2" w:sz="8" w:space="0"/>
          <w:bottom w:val="single" w:color="C0504D" w:themeColor="accent2" w:sz="8" w:space="0"/>
        </w:tcBorders>
      </w:tcPr>
    </w:tblStylePr>
    <w:tblStylePr w:type="firstCol">
      <w:rPr>
        <w:b/>
        <w:bCs/>
      </w:rPr>
    </w:tblStylePr>
    <w:tblStylePr w:type="lastCol">
      <w:rPr>
        <w:b/>
        <w:bCs/>
      </w:rPr>
      <w:tcPr>
        <w:tcBorders>
          <w:top w:val="single" w:color="C0504D" w:themeColor="accent2" w:sz="8" w:space="0"/>
          <w:bottom w:val="single" w:color="C0504D" w:themeColor="accent2" w:sz="8" w:space="0"/>
        </w:tcBorders>
      </w:tcPr>
    </w:tblStylePr>
    <w:tblStylePr w:type="band1Vert">
      <w:tcPr>
        <w:shd w:val="clear" w:color="auto" w:fill="EFD3D3" w:themeFill="accent2" w:themeFillTint="3F"/>
      </w:tcPr>
    </w:tblStylePr>
    <w:tblStylePr w:type="band1Horz">
      <w:tcPr>
        <w:shd w:val="clear" w:color="auto" w:fill="EFD3D3" w:themeFill="accent2" w:themeFillTint="3F"/>
      </w:tcPr>
    </w:tblStylePr>
  </w:style>
  <w:style w:type="table" w:styleId="104">
    <w:name w:val="Medium List 1 Accent 3"/>
    <w:basedOn w:val="1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9BBB59" w:themeColor="accent3" w:sz="8" w:space="0"/>
        </w:tcBorders>
      </w:tcPr>
    </w:tblStylePr>
    <w:tblStylePr w:type="lastRow">
      <w:rPr>
        <w:b/>
        <w:bCs/>
        <w:color w:val="1F497D" w:themeColor="text2"/>
        <w14:textFill>
          <w14:solidFill>
            <w14:schemeClr w14:val="tx2"/>
          </w14:solidFill>
        </w14:textFill>
      </w:rPr>
      <w:tcPr>
        <w:tcBorders>
          <w:top w:val="single" w:color="9BBB59" w:themeColor="accent3" w:sz="8" w:space="0"/>
          <w:bottom w:val="single" w:color="9BBB59" w:themeColor="accent3" w:sz="8" w:space="0"/>
        </w:tcBorders>
      </w:tcPr>
    </w:tblStylePr>
    <w:tblStylePr w:type="firstCol">
      <w:rPr>
        <w:b/>
        <w:bCs/>
      </w:rPr>
    </w:tblStylePr>
    <w:tblStylePr w:type="lastCol">
      <w:rPr>
        <w:b/>
        <w:bCs/>
      </w:rPr>
      <w:tcPr>
        <w:tcBorders>
          <w:top w:val="single" w:color="9BBB59" w:themeColor="accent3" w:sz="8" w:space="0"/>
          <w:bottom w:val="single" w:color="9BBB59" w:themeColor="accent3" w:sz="8" w:space="0"/>
        </w:tcBorders>
      </w:tcPr>
    </w:tblStylePr>
    <w:tblStylePr w:type="band1Vert">
      <w:tcPr>
        <w:shd w:val="clear" w:color="auto" w:fill="E6EED5" w:themeFill="accent3" w:themeFillTint="3F"/>
      </w:tcPr>
    </w:tblStylePr>
    <w:tblStylePr w:type="band1Horz">
      <w:tcPr>
        <w:shd w:val="clear" w:color="auto" w:fill="E6EED5" w:themeFill="accent3" w:themeFillTint="3F"/>
      </w:tcPr>
    </w:tblStylePr>
  </w:style>
  <w:style w:type="table" w:styleId="105">
    <w:name w:val="Medium List 1 Accent 4"/>
    <w:basedOn w:val="1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8064A2" w:themeColor="accent4" w:sz="8" w:space="0"/>
        </w:tcBorders>
      </w:tcPr>
    </w:tblStylePr>
    <w:tblStylePr w:type="lastRow">
      <w:rPr>
        <w:b/>
        <w:bCs/>
        <w:color w:val="1F497D" w:themeColor="text2"/>
        <w14:textFill>
          <w14:solidFill>
            <w14:schemeClr w14:val="tx2"/>
          </w14:solidFill>
        </w14:textFill>
      </w:rPr>
      <w:tcPr>
        <w:tcBorders>
          <w:top w:val="single" w:color="8064A2" w:themeColor="accent4" w:sz="8" w:space="0"/>
          <w:bottom w:val="single" w:color="8064A2" w:themeColor="accent4" w:sz="8" w:space="0"/>
        </w:tcBorders>
      </w:tcPr>
    </w:tblStylePr>
    <w:tblStylePr w:type="firstCol">
      <w:rPr>
        <w:b/>
        <w:bCs/>
      </w:rPr>
    </w:tblStylePr>
    <w:tblStylePr w:type="lastCol">
      <w:rPr>
        <w:b/>
        <w:bCs/>
      </w:rPr>
      <w:tcPr>
        <w:tcBorders>
          <w:top w:val="single" w:color="8064A2" w:themeColor="accent4" w:sz="8" w:space="0"/>
          <w:bottom w:val="single" w:color="8064A2" w:themeColor="accent4" w:sz="8" w:space="0"/>
        </w:tcBorders>
      </w:tcPr>
    </w:tblStylePr>
    <w:tblStylePr w:type="band1Vert">
      <w:tcPr>
        <w:shd w:val="clear" w:color="auto" w:fill="DFD8E8" w:themeFill="accent4" w:themeFillTint="3F"/>
      </w:tcPr>
    </w:tblStylePr>
    <w:tblStylePr w:type="band1Horz">
      <w:tcPr>
        <w:shd w:val="clear" w:color="auto" w:fill="DFD8E8" w:themeFill="accent4" w:themeFillTint="3F"/>
      </w:tcPr>
    </w:tblStylePr>
  </w:style>
  <w:style w:type="table" w:styleId="106">
    <w:name w:val="Medium List 1 Accent 5"/>
    <w:basedOn w:val="1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4BACC6" w:themeColor="accent5" w:sz="8" w:space="0"/>
        </w:tcBorders>
      </w:tcPr>
    </w:tblStylePr>
    <w:tblStylePr w:type="lastRow">
      <w:rPr>
        <w:b/>
        <w:bCs/>
        <w:color w:val="1F497D" w:themeColor="text2"/>
        <w14:textFill>
          <w14:solidFill>
            <w14:schemeClr w14:val="tx2"/>
          </w14:solidFill>
        </w14:textFill>
      </w:rPr>
      <w:tcPr>
        <w:tcBorders>
          <w:top w:val="single" w:color="4BACC6" w:themeColor="accent5" w:sz="8" w:space="0"/>
          <w:bottom w:val="single" w:color="4BACC6" w:themeColor="accent5" w:sz="8" w:space="0"/>
        </w:tcBorders>
      </w:tcPr>
    </w:tblStylePr>
    <w:tblStylePr w:type="firstCol">
      <w:rPr>
        <w:b/>
        <w:bCs/>
      </w:rPr>
    </w:tblStylePr>
    <w:tblStylePr w:type="lastCol">
      <w:rPr>
        <w:b/>
        <w:bCs/>
      </w:rPr>
      <w:tcPr>
        <w:tcBorders>
          <w:top w:val="single" w:color="4BACC6" w:themeColor="accent5" w:sz="8" w:space="0"/>
          <w:bottom w:val="single" w:color="4BACC6" w:themeColor="accent5" w:sz="8" w:space="0"/>
        </w:tcBorders>
      </w:tcPr>
    </w:tblStylePr>
    <w:tblStylePr w:type="band1Vert">
      <w:tcPr>
        <w:shd w:val="clear" w:color="auto" w:fill="D2EAF0" w:themeFill="accent5" w:themeFillTint="3F"/>
      </w:tcPr>
    </w:tblStylePr>
    <w:tblStylePr w:type="band1Horz">
      <w:tcPr>
        <w:shd w:val="clear" w:color="auto" w:fill="D2EAF0" w:themeFill="accent5" w:themeFillTint="3F"/>
      </w:tcPr>
    </w:tblStylePr>
  </w:style>
  <w:style w:type="table" w:styleId="107">
    <w:name w:val="Medium List 1 Accent 6"/>
    <w:basedOn w:val="1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F79646" w:themeColor="accent6" w:sz="8" w:space="0"/>
        </w:tcBorders>
      </w:tcPr>
    </w:tblStylePr>
    <w:tblStylePr w:type="lastRow">
      <w:rPr>
        <w:b/>
        <w:bCs/>
        <w:color w:val="1F497D" w:themeColor="text2"/>
        <w14:textFill>
          <w14:solidFill>
            <w14:schemeClr w14:val="tx2"/>
          </w14:solidFill>
        </w14:textFill>
      </w:rPr>
      <w:tcPr>
        <w:tcBorders>
          <w:top w:val="single" w:color="F79646" w:themeColor="accent6" w:sz="8" w:space="0"/>
          <w:bottom w:val="single" w:color="F79646" w:themeColor="accent6" w:sz="8" w:space="0"/>
        </w:tcBorders>
      </w:tcPr>
    </w:tblStylePr>
    <w:tblStylePr w:type="firstCol">
      <w:rPr>
        <w:b/>
        <w:bCs/>
      </w:rPr>
    </w:tblStylePr>
    <w:tblStylePr w:type="lastCol">
      <w:rPr>
        <w:b/>
        <w:bCs/>
      </w:rPr>
      <w:tcPr>
        <w:tcBorders>
          <w:top w:val="single" w:color="F79646" w:themeColor="accent6" w:sz="8" w:space="0"/>
          <w:bottom w:val="single" w:color="F79646" w:themeColor="accent6" w:sz="8" w:space="0"/>
        </w:tcBorders>
      </w:tcPr>
    </w:tblStylePr>
    <w:tblStylePr w:type="band1Vert">
      <w:tcPr>
        <w:shd w:val="clear" w:color="auto" w:fill="FDE5D1" w:themeFill="accent6" w:themeFillTint="3F"/>
      </w:tcPr>
    </w:tblStylePr>
    <w:tblStylePr w:type="band1Horz">
      <w:tcPr>
        <w:shd w:val="clear" w:color="auto" w:fill="FDE5D1" w:themeFill="accent6" w:themeFillTint="3F"/>
      </w:tcPr>
    </w:tblStylePr>
  </w:style>
  <w:style w:type="table" w:styleId="108">
    <w:name w:val="Medium List 2"/>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cPr>
        <w:tcBorders>
          <w:top w:val="nil"/>
          <w:left w:val="nil"/>
          <w:bottom w:val="single" w:color="000000" w:themeColor="text1" w:sz="24" w:space="0"/>
          <w:right w:val="nil"/>
          <w:insideH w:val="nil"/>
          <w:insideV w:val="nil"/>
        </w:tcBorders>
        <w:shd w:val="clear" w:color="auto" w:fill="FFFFFF" w:themeFill="background1"/>
      </w:tcPr>
    </w:tblStylePr>
    <w:tblStylePr w:type="lastRow">
      <w:tcPr>
        <w:tcBorders>
          <w:top w:val="single" w:color="000000" w:themeColor="text1" w:sz="8" w:space="0"/>
          <w:left w:val="nil"/>
          <w:bottom w:val="nil"/>
          <w:right w:val="nil"/>
          <w:insideH w:val="nil"/>
          <w:insideV w:val="nil"/>
        </w:tcBorders>
        <w:shd w:val="clear" w:color="auto" w:fill="FFFFFF" w:themeFill="background1"/>
      </w:tcPr>
    </w:tblStylePr>
    <w:tblStylePr w:type="firstCol">
      <w:tcPr>
        <w:tcBorders>
          <w:top w:val="nil"/>
          <w:left w:val="nil"/>
          <w:bottom w:val="nil"/>
          <w:right w:val="single" w:color="000000" w:themeColor="text1" w:sz="8" w:space="0"/>
          <w:insideH w:val="nil"/>
          <w:insideV w:val="nil"/>
        </w:tcBorders>
        <w:shd w:val="clear" w:color="auto" w:fill="FFFFFF" w:themeFill="background1"/>
      </w:tcPr>
    </w:tblStylePr>
    <w:tblStylePr w:type="lastCol">
      <w:tcPr>
        <w:tcBorders>
          <w:top w:val="nil"/>
          <w:left w:val="single" w:color="000000" w:themeColor="text1" w:sz="8" w:space="0"/>
          <w:bottom w:val="nil"/>
          <w:right w:val="nil"/>
          <w:insideH w:val="nil"/>
          <w:insideV w:val="nil"/>
        </w:tcBorders>
        <w:shd w:val="clear" w:color="auto" w:fill="FFFFFF" w:themeFill="background1"/>
      </w:tcPr>
    </w:tblStylePr>
    <w:tblStylePr w:type="band1Vert">
      <w:tcPr>
        <w:tcBorders>
          <w:left w:val="nil"/>
          <w:right w:val="nil"/>
          <w:insideH w:val="nil"/>
          <w:insideV w:val="nil"/>
        </w:tcBorders>
        <w:shd w:val="clear" w:color="auto" w:fill="BFBFBF" w:themeFill="text1" w:themeFillTint="3F"/>
      </w:tcPr>
    </w:tblStylePr>
    <w:tblStylePr w:type="band1Horz">
      <w:tcPr>
        <w:tcBorders>
          <w:top w:val="nil"/>
          <w:bottom w:val="nil"/>
          <w:insideH w:val="nil"/>
          <w:insideV w:val="nil"/>
        </w:tcBorders>
        <w:shd w:val="clear" w:color="auto" w:fill="BFBFBF" w:themeFill="text1" w:themeFillTint="3F"/>
      </w:tcPr>
    </w:tblStylePr>
    <w:tblStylePr w:type="nwCell">
      <w:tcPr>
        <w:shd w:val="clear" w:color="auto" w:fill="FFFFFF" w:themeFill="background1"/>
      </w:tcPr>
    </w:tblStylePr>
    <w:tblStylePr w:type="swCell">
      <w:tcPr>
        <w:tcBorders>
          <w:top w:val="nil"/>
        </w:tcBorders>
      </w:tcPr>
    </w:tblStylePr>
  </w:style>
  <w:style w:type="table" w:styleId="109">
    <w:name w:val="Medium List 2 Accent 1"/>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cPr>
        <w:tcBorders>
          <w:top w:val="nil"/>
          <w:left w:val="nil"/>
          <w:bottom w:val="single" w:color="4F81BD" w:themeColor="accent1" w:sz="24" w:space="0"/>
          <w:right w:val="nil"/>
          <w:insideH w:val="nil"/>
          <w:insideV w:val="nil"/>
        </w:tcBorders>
        <w:shd w:val="clear" w:color="auto" w:fill="FFFFFF" w:themeFill="background1"/>
      </w:tcPr>
    </w:tblStylePr>
    <w:tblStylePr w:type="lastRow">
      <w:tcPr>
        <w:tcBorders>
          <w:top w:val="single" w:color="4F81BD" w:themeColor="accent1" w:sz="8" w:space="0"/>
          <w:left w:val="nil"/>
          <w:bottom w:val="nil"/>
          <w:right w:val="nil"/>
          <w:insideH w:val="nil"/>
          <w:insideV w:val="nil"/>
        </w:tcBorders>
        <w:shd w:val="clear" w:color="auto" w:fill="FFFFFF" w:themeFill="background1"/>
      </w:tcPr>
    </w:tblStylePr>
    <w:tblStylePr w:type="firstCol">
      <w:tcPr>
        <w:tcBorders>
          <w:top w:val="nil"/>
          <w:left w:val="nil"/>
          <w:bottom w:val="nil"/>
          <w:right w:val="single" w:color="4F81BD" w:themeColor="accent1" w:sz="8" w:space="0"/>
          <w:insideH w:val="nil"/>
          <w:insideV w:val="nil"/>
        </w:tcBorders>
        <w:shd w:val="clear" w:color="auto" w:fill="FFFFFF" w:themeFill="background1"/>
      </w:tcPr>
    </w:tblStylePr>
    <w:tblStylePr w:type="lastCol">
      <w:tcPr>
        <w:tcBorders>
          <w:top w:val="nil"/>
          <w:left w:val="single" w:color="4F81BD" w:themeColor="accent1" w:sz="8" w:space="0"/>
          <w:bottom w:val="nil"/>
          <w:right w:val="nil"/>
          <w:insideH w:val="nil"/>
          <w:insideV w:val="nil"/>
        </w:tcBorders>
        <w:shd w:val="clear" w:color="auto" w:fill="FFFFFF" w:themeFill="background1"/>
      </w:tcPr>
    </w:tblStylePr>
    <w:tblStylePr w:type="band1Vert">
      <w:tcPr>
        <w:tcBorders>
          <w:left w:val="nil"/>
          <w:right w:val="nil"/>
          <w:insideH w:val="nil"/>
          <w:insideV w:val="nil"/>
        </w:tcBorders>
        <w:shd w:val="clear" w:color="auto" w:fill="D3DFEE" w:themeFill="accent1" w:themeFillTint="3F"/>
      </w:tcPr>
    </w:tblStylePr>
    <w:tblStylePr w:type="band1Horz">
      <w:tcPr>
        <w:tcBorders>
          <w:top w:val="nil"/>
          <w:bottom w:val="nil"/>
          <w:insideH w:val="nil"/>
          <w:insideV w:val="nil"/>
        </w:tcBorders>
        <w:shd w:val="clear" w:color="auto" w:fill="D3DFEE" w:themeFill="accent1" w:themeFillTint="3F"/>
      </w:tcPr>
    </w:tblStylePr>
    <w:tblStylePr w:type="nwCell">
      <w:tcPr>
        <w:shd w:val="clear" w:color="auto" w:fill="FFFFFF" w:themeFill="background1"/>
      </w:tcPr>
    </w:tblStylePr>
    <w:tblStylePr w:type="swCell">
      <w:tcPr>
        <w:tcBorders>
          <w:top w:val="nil"/>
        </w:tcBorders>
      </w:tcPr>
    </w:tblStylePr>
  </w:style>
  <w:style w:type="table" w:styleId="110">
    <w:name w:val="Medium List 2 Accent 2"/>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cPr>
        <w:tcBorders>
          <w:top w:val="nil"/>
          <w:left w:val="nil"/>
          <w:bottom w:val="single" w:color="C0504D" w:themeColor="accent2" w:sz="24" w:space="0"/>
          <w:right w:val="nil"/>
          <w:insideH w:val="nil"/>
          <w:insideV w:val="nil"/>
        </w:tcBorders>
        <w:shd w:val="clear" w:color="auto" w:fill="FFFFFF" w:themeFill="background1"/>
      </w:tcPr>
    </w:tblStylePr>
    <w:tblStylePr w:type="lastRow">
      <w:tcPr>
        <w:tcBorders>
          <w:top w:val="single" w:color="C0504D" w:themeColor="accent2" w:sz="8" w:space="0"/>
          <w:left w:val="nil"/>
          <w:bottom w:val="nil"/>
          <w:right w:val="nil"/>
          <w:insideH w:val="nil"/>
          <w:insideV w:val="nil"/>
        </w:tcBorders>
        <w:shd w:val="clear" w:color="auto" w:fill="FFFFFF" w:themeFill="background1"/>
      </w:tcPr>
    </w:tblStylePr>
    <w:tblStylePr w:type="firstCol">
      <w:tcPr>
        <w:tcBorders>
          <w:top w:val="nil"/>
          <w:left w:val="nil"/>
          <w:bottom w:val="nil"/>
          <w:right w:val="single" w:color="C0504D" w:themeColor="accent2" w:sz="8" w:space="0"/>
          <w:insideH w:val="nil"/>
          <w:insideV w:val="nil"/>
        </w:tcBorders>
        <w:shd w:val="clear" w:color="auto" w:fill="FFFFFF" w:themeFill="background1"/>
      </w:tcPr>
    </w:tblStylePr>
    <w:tblStylePr w:type="lastCol">
      <w:tcPr>
        <w:tcBorders>
          <w:top w:val="nil"/>
          <w:left w:val="single" w:color="C0504D" w:themeColor="accent2" w:sz="8" w:space="0"/>
          <w:bottom w:val="nil"/>
          <w:right w:val="nil"/>
          <w:insideH w:val="nil"/>
          <w:insideV w:val="nil"/>
        </w:tcBorders>
        <w:shd w:val="clear" w:color="auto" w:fill="FFFFFF" w:themeFill="background1"/>
      </w:tcPr>
    </w:tblStylePr>
    <w:tblStylePr w:type="band1Vert">
      <w:tcPr>
        <w:tcBorders>
          <w:left w:val="nil"/>
          <w:right w:val="nil"/>
          <w:insideH w:val="nil"/>
          <w:insideV w:val="nil"/>
        </w:tcBorders>
        <w:shd w:val="clear" w:color="auto" w:fill="EFD3D3" w:themeFill="accent2" w:themeFillTint="3F"/>
      </w:tcPr>
    </w:tblStylePr>
    <w:tblStylePr w:type="band1Horz">
      <w:tcPr>
        <w:tcBorders>
          <w:top w:val="nil"/>
          <w:bottom w:val="nil"/>
          <w:insideH w:val="nil"/>
          <w:insideV w:val="nil"/>
        </w:tcBorders>
        <w:shd w:val="clear" w:color="auto" w:fill="EFD3D3" w:themeFill="accent2" w:themeFillTint="3F"/>
      </w:tcPr>
    </w:tblStylePr>
    <w:tblStylePr w:type="nwCell">
      <w:tcPr>
        <w:shd w:val="clear" w:color="auto" w:fill="FFFFFF" w:themeFill="background1"/>
      </w:tcPr>
    </w:tblStylePr>
    <w:tblStylePr w:type="swCell">
      <w:tcPr>
        <w:tcBorders>
          <w:top w:val="nil"/>
        </w:tcBorders>
      </w:tcPr>
    </w:tblStylePr>
  </w:style>
  <w:style w:type="table" w:styleId="111">
    <w:name w:val="Medium List 2 Accent 3"/>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cPr>
        <w:tcBorders>
          <w:top w:val="nil"/>
          <w:left w:val="nil"/>
          <w:bottom w:val="single" w:color="9BBB59" w:themeColor="accent3" w:sz="24" w:space="0"/>
          <w:right w:val="nil"/>
          <w:insideH w:val="nil"/>
          <w:insideV w:val="nil"/>
        </w:tcBorders>
        <w:shd w:val="clear" w:color="auto" w:fill="FFFFFF" w:themeFill="background1"/>
      </w:tcPr>
    </w:tblStylePr>
    <w:tblStylePr w:type="lastRow">
      <w:tcPr>
        <w:tcBorders>
          <w:top w:val="single" w:color="9BBB59" w:themeColor="accent3" w:sz="8" w:space="0"/>
          <w:left w:val="nil"/>
          <w:bottom w:val="nil"/>
          <w:right w:val="nil"/>
          <w:insideH w:val="nil"/>
          <w:insideV w:val="nil"/>
        </w:tcBorders>
        <w:shd w:val="clear" w:color="auto" w:fill="FFFFFF" w:themeFill="background1"/>
      </w:tcPr>
    </w:tblStylePr>
    <w:tblStylePr w:type="firstCol">
      <w:tcPr>
        <w:tcBorders>
          <w:top w:val="nil"/>
          <w:left w:val="nil"/>
          <w:bottom w:val="nil"/>
          <w:right w:val="single" w:color="9BBB59" w:themeColor="accent3" w:sz="8" w:space="0"/>
          <w:insideH w:val="nil"/>
          <w:insideV w:val="nil"/>
        </w:tcBorders>
        <w:shd w:val="clear" w:color="auto" w:fill="FFFFFF" w:themeFill="background1"/>
      </w:tcPr>
    </w:tblStylePr>
    <w:tblStylePr w:type="lastCol">
      <w:tcPr>
        <w:tcBorders>
          <w:top w:val="nil"/>
          <w:left w:val="single" w:color="9BBB59" w:themeColor="accent3" w:sz="8" w:space="0"/>
          <w:bottom w:val="nil"/>
          <w:right w:val="nil"/>
          <w:insideH w:val="nil"/>
          <w:insideV w:val="nil"/>
        </w:tcBorders>
        <w:shd w:val="clear" w:color="auto" w:fill="FFFFFF" w:themeFill="background1"/>
      </w:tcPr>
    </w:tblStylePr>
    <w:tblStylePr w:type="band1Vert">
      <w:tcPr>
        <w:tcBorders>
          <w:left w:val="nil"/>
          <w:right w:val="nil"/>
          <w:insideH w:val="nil"/>
          <w:insideV w:val="nil"/>
        </w:tcBorders>
        <w:shd w:val="clear" w:color="auto" w:fill="E6EED5" w:themeFill="accent3" w:themeFillTint="3F"/>
      </w:tcPr>
    </w:tblStylePr>
    <w:tblStylePr w:type="band1Horz">
      <w:tcPr>
        <w:tcBorders>
          <w:top w:val="nil"/>
          <w:bottom w:val="nil"/>
          <w:insideH w:val="nil"/>
          <w:insideV w:val="nil"/>
        </w:tcBorders>
        <w:shd w:val="clear" w:color="auto" w:fill="E6EED5" w:themeFill="accent3" w:themeFillTint="3F"/>
      </w:tcPr>
    </w:tblStylePr>
    <w:tblStylePr w:type="nwCell">
      <w:tcPr>
        <w:shd w:val="clear" w:color="auto" w:fill="FFFFFF" w:themeFill="background1"/>
      </w:tcPr>
    </w:tblStylePr>
    <w:tblStylePr w:type="swCell">
      <w:tcPr>
        <w:tcBorders>
          <w:top w:val="nil"/>
        </w:tcBorders>
      </w:tcPr>
    </w:tblStylePr>
  </w:style>
  <w:style w:type="table" w:styleId="112">
    <w:name w:val="Medium List 2 Accent 4"/>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cPr>
        <w:tcBorders>
          <w:top w:val="nil"/>
          <w:left w:val="nil"/>
          <w:bottom w:val="single" w:color="8064A2" w:themeColor="accent4" w:sz="24" w:space="0"/>
          <w:right w:val="nil"/>
          <w:insideH w:val="nil"/>
          <w:insideV w:val="nil"/>
        </w:tcBorders>
        <w:shd w:val="clear" w:color="auto" w:fill="FFFFFF" w:themeFill="background1"/>
      </w:tcPr>
    </w:tblStylePr>
    <w:tblStylePr w:type="lastRow">
      <w:tcPr>
        <w:tcBorders>
          <w:top w:val="single" w:color="8064A2" w:themeColor="accent4" w:sz="8" w:space="0"/>
          <w:left w:val="nil"/>
          <w:bottom w:val="nil"/>
          <w:right w:val="nil"/>
          <w:insideH w:val="nil"/>
          <w:insideV w:val="nil"/>
        </w:tcBorders>
        <w:shd w:val="clear" w:color="auto" w:fill="FFFFFF" w:themeFill="background1"/>
      </w:tcPr>
    </w:tblStylePr>
    <w:tblStylePr w:type="firstCol">
      <w:tcPr>
        <w:tcBorders>
          <w:top w:val="nil"/>
          <w:left w:val="nil"/>
          <w:bottom w:val="nil"/>
          <w:right w:val="single" w:color="8064A2" w:themeColor="accent4" w:sz="8" w:space="0"/>
          <w:insideH w:val="nil"/>
          <w:insideV w:val="nil"/>
        </w:tcBorders>
        <w:shd w:val="clear" w:color="auto" w:fill="FFFFFF" w:themeFill="background1"/>
      </w:tcPr>
    </w:tblStylePr>
    <w:tblStylePr w:type="lastCol">
      <w:tcPr>
        <w:tcBorders>
          <w:top w:val="nil"/>
          <w:left w:val="single" w:color="8064A2" w:themeColor="accent4" w:sz="8" w:space="0"/>
          <w:bottom w:val="nil"/>
          <w:right w:val="nil"/>
          <w:insideH w:val="nil"/>
          <w:insideV w:val="nil"/>
        </w:tcBorders>
        <w:shd w:val="clear" w:color="auto" w:fill="FFFFFF" w:themeFill="background1"/>
      </w:tcPr>
    </w:tblStylePr>
    <w:tblStylePr w:type="band1Vert">
      <w:tcPr>
        <w:tcBorders>
          <w:left w:val="nil"/>
          <w:right w:val="nil"/>
          <w:insideH w:val="nil"/>
          <w:insideV w:val="nil"/>
        </w:tcBorders>
        <w:shd w:val="clear" w:color="auto" w:fill="DFD8E8" w:themeFill="accent4" w:themeFillTint="3F"/>
      </w:tcPr>
    </w:tblStylePr>
    <w:tblStylePr w:type="band1Horz">
      <w:tcPr>
        <w:tcBorders>
          <w:top w:val="nil"/>
          <w:bottom w:val="nil"/>
          <w:insideH w:val="nil"/>
          <w:insideV w:val="nil"/>
        </w:tcBorders>
        <w:shd w:val="clear" w:color="auto" w:fill="DFD8E8" w:themeFill="accent4" w:themeFillTint="3F"/>
      </w:tcPr>
    </w:tblStylePr>
    <w:tblStylePr w:type="nwCell">
      <w:tcPr>
        <w:shd w:val="clear" w:color="auto" w:fill="FFFFFF" w:themeFill="background1"/>
      </w:tcPr>
    </w:tblStylePr>
    <w:tblStylePr w:type="swCell">
      <w:tcPr>
        <w:tcBorders>
          <w:top w:val="nil"/>
        </w:tcBorders>
      </w:tcPr>
    </w:tblStylePr>
  </w:style>
  <w:style w:type="table" w:styleId="113">
    <w:name w:val="Medium List 2 Accent 5"/>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cPr>
        <w:tcBorders>
          <w:top w:val="nil"/>
          <w:left w:val="nil"/>
          <w:bottom w:val="single" w:color="4BACC6" w:themeColor="accent5" w:sz="24" w:space="0"/>
          <w:right w:val="nil"/>
          <w:insideH w:val="nil"/>
          <w:insideV w:val="nil"/>
        </w:tcBorders>
        <w:shd w:val="clear" w:color="auto" w:fill="FFFFFF" w:themeFill="background1"/>
      </w:tcPr>
    </w:tblStylePr>
    <w:tblStylePr w:type="lastRow">
      <w:tcPr>
        <w:tcBorders>
          <w:top w:val="single" w:color="4BACC6" w:themeColor="accent5" w:sz="8" w:space="0"/>
          <w:left w:val="nil"/>
          <w:bottom w:val="nil"/>
          <w:right w:val="nil"/>
          <w:insideH w:val="nil"/>
          <w:insideV w:val="nil"/>
        </w:tcBorders>
        <w:shd w:val="clear" w:color="auto" w:fill="FFFFFF" w:themeFill="background1"/>
      </w:tcPr>
    </w:tblStylePr>
    <w:tblStylePr w:type="firstCol">
      <w:tcPr>
        <w:tcBorders>
          <w:top w:val="nil"/>
          <w:left w:val="nil"/>
          <w:bottom w:val="nil"/>
          <w:right w:val="single" w:color="4BACC6" w:themeColor="accent5" w:sz="8" w:space="0"/>
          <w:insideH w:val="nil"/>
          <w:insideV w:val="nil"/>
        </w:tcBorders>
        <w:shd w:val="clear" w:color="auto" w:fill="FFFFFF" w:themeFill="background1"/>
      </w:tcPr>
    </w:tblStylePr>
    <w:tblStylePr w:type="lastCol">
      <w:tcPr>
        <w:tcBorders>
          <w:top w:val="nil"/>
          <w:left w:val="single" w:color="4BACC6" w:themeColor="accent5" w:sz="8" w:space="0"/>
          <w:bottom w:val="nil"/>
          <w:right w:val="nil"/>
          <w:insideH w:val="nil"/>
          <w:insideV w:val="nil"/>
        </w:tcBorders>
        <w:shd w:val="clear" w:color="auto" w:fill="FFFFFF" w:themeFill="background1"/>
      </w:tcPr>
    </w:tblStylePr>
    <w:tblStylePr w:type="band1Vert">
      <w:tcPr>
        <w:tcBorders>
          <w:left w:val="nil"/>
          <w:right w:val="nil"/>
          <w:insideH w:val="nil"/>
          <w:insideV w:val="nil"/>
        </w:tcBorders>
        <w:shd w:val="clear" w:color="auto" w:fill="D2EAF0" w:themeFill="accent5" w:themeFillTint="3F"/>
      </w:tcPr>
    </w:tblStylePr>
    <w:tblStylePr w:type="band1Horz">
      <w:tcPr>
        <w:tcBorders>
          <w:top w:val="nil"/>
          <w:bottom w:val="nil"/>
          <w:insideH w:val="nil"/>
          <w:insideV w:val="nil"/>
        </w:tcBorders>
        <w:shd w:val="clear" w:color="auto" w:fill="D2EAF0" w:themeFill="accent5" w:themeFillTint="3F"/>
      </w:tcPr>
    </w:tblStylePr>
    <w:tblStylePr w:type="nwCell">
      <w:tcPr>
        <w:shd w:val="clear" w:color="auto" w:fill="FFFFFF" w:themeFill="background1"/>
      </w:tcPr>
    </w:tblStylePr>
    <w:tblStylePr w:type="swCell">
      <w:tcPr>
        <w:tcBorders>
          <w:top w:val="nil"/>
        </w:tcBorders>
      </w:tcPr>
    </w:tblStylePr>
  </w:style>
  <w:style w:type="table" w:styleId="114">
    <w:name w:val="Medium List 2 Accent 6"/>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cPr>
        <w:tcBorders>
          <w:top w:val="nil"/>
          <w:left w:val="nil"/>
          <w:bottom w:val="single" w:color="F79646" w:themeColor="accent6" w:sz="24" w:space="0"/>
          <w:right w:val="nil"/>
          <w:insideH w:val="nil"/>
          <w:insideV w:val="nil"/>
        </w:tcBorders>
        <w:shd w:val="clear" w:color="auto" w:fill="FFFFFF" w:themeFill="background1"/>
      </w:tcPr>
    </w:tblStylePr>
    <w:tblStylePr w:type="lastRow">
      <w:tcPr>
        <w:tcBorders>
          <w:top w:val="single" w:color="F79646" w:themeColor="accent6" w:sz="8" w:space="0"/>
          <w:left w:val="nil"/>
          <w:bottom w:val="nil"/>
          <w:right w:val="nil"/>
          <w:insideH w:val="nil"/>
          <w:insideV w:val="nil"/>
        </w:tcBorders>
        <w:shd w:val="clear" w:color="auto" w:fill="FFFFFF" w:themeFill="background1"/>
      </w:tcPr>
    </w:tblStylePr>
    <w:tblStylePr w:type="firstCol">
      <w:tcPr>
        <w:tcBorders>
          <w:top w:val="nil"/>
          <w:left w:val="nil"/>
          <w:bottom w:val="nil"/>
          <w:right w:val="single" w:color="F79646" w:themeColor="accent6" w:sz="8" w:space="0"/>
          <w:insideH w:val="nil"/>
          <w:insideV w:val="nil"/>
        </w:tcBorders>
        <w:shd w:val="clear" w:color="auto" w:fill="FFFFFF" w:themeFill="background1"/>
      </w:tcPr>
    </w:tblStylePr>
    <w:tblStylePr w:type="lastCol">
      <w:tcPr>
        <w:tcBorders>
          <w:top w:val="nil"/>
          <w:left w:val="single" w:color="F79646" w:themeColor="accent6" w:sz="8" w:space="0"/>
          <w:bottom w:val="nil"/>
          <w:right w:val="nil"/>
          <w:insideH w:val="nil"/>
          <w:insideV w:val="nil"/>
        </w:tcBorders>
        <w:shd w:val="clear" w:color="auto" w:fill="FFFFFF" w:themeFill="background1"/>
      </w:tcPr>
    </w:tblStylePr>
    <w:tblStylePr w:type="band1Vert">
      <w:tcPr>
        <w:tcBorders>
          <w:left w:val="nil"/>
          <w:right w:val="nil"/>
          <w:insideH w:val="nil"/>
          <w:insideV w:val="nil"/>
        </w:tcBorders>
        <w:shd w:val="clear" w:color="auto" w:fill="FDE5D1" w:themeFill="accent6" w:themeFillTint="3F"/>
      </w:tcPr>
    </w:tblStylePr>
    <w:tblStylePr w:type="band1Horz">
      <w:tcPr>
        <w:tcBorders>
          <w:top w:val="nil"/>
          <w:bottom w:val="nil"/>
          <w:insideH w:val="nil"/>
          <w:insideV w:val="nil"/>
        </w:tcBorders>
        <w:shd w:val="clear" w:color="auto" w:fill="FDE5D1" w:themeFill="accent6" w:themeFillTint="3F"/>
      </w:tcPr>
    </w:tblStylePr>
    <w:tblStylePr w:type="nwCell">
      <w:tcPr>
        <w:shd w:val="clear" w:color="auto" w:fill="FFFFFF" w:themeFill="background1"/>
      </w:tcPr>
    </w:tblStylePr>
    <w:tblStylePr w:type="swCell">
      <w:tcPr>
        <w:tcBorders>
          <w:top w:val="nil"/>
        </w:tcBorders>
      </w:tcPr>
    </w:tblStylePr>
  </w:style>
  <w:style w:type="table" w:styleId="115">
    <w:name w:val="Medium Grid 1"/>
    <w:basedOn w:val="1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cPr>
        <w:tcBorders>
          <w:top w:val="single" w:color="3F3F3F" w:themeColor="text1" w:themeTint="BF" w:sz="18" w:space="0"/>
        </w:tcBorders>
      </w:tcPr>
    </w:tblStylePr>
    <w:tblStylePr w:type="firstCol">
      <w:rPr>
        <w:b/>
        <w:bCs/>
      </w:rPr>
    </w:tblStylePr>
    <w:tblStylePr w:type="lastCol">
      <w:rPr>
        <w:b/>
        <w:bCs/>
      </w:rPr>
    </w:tblStylePr>
    <w:tblStylePr w:type="band1Vert">
      <w:tcPr>
        <w:shd w:val="clear" w:color="auto" w:fill="7F7F7F" w:themeFill="text1" w:themeFillTint="7F"/>
      </w:tcPr>
    </w:tblStylePr>
    <w:tblStylePr w:type="band1Horz">
      <w:tcPr>
        <w:shd w:val="clear" w:color="auto" w:fill="7F7F7F" w:themeFill="text1" w:themeFillTint="7F"/>
      </w:tcPr>
    </w:tblStylePr>
  </w:style>
  <w:style w:type="table" w:styleId="116">
    <w:name w:val="Medium Grid 1 Accent 1"/>
    <w:basedOn w:val="1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cPr>
        <w:tcBorders>
          <w:top w:val="single" w:color="7BA0CD" w:themeColor="accent1" w:themeTint="BF" w:sz="18" w:space="0"/>
        </w:tcBorders>
      </w:tcPr>
    </w:tblStylePr>
    <w:tblStylePr w:type="firstCol">
      <w:rPr>
        <w:b/>
        <w:bCs/>
      </w:rPr>
    </w:tblStylePr>
    <w:tblStylePr w:type="lastCol">
      <w:rPr>
        <w:b/>
        <w:bCs/>
      </w:rPr>
    </w:tblStylePr>
    <w:tblStylePr w:type="band1Vert">
      <w:tcPr>
        <w:shd w:val="clear" w:color="auto" w:fill="A7C0DE" w:themeFill="accent1" w:themeFillTint="7F"/>
      </w:tcPr>
    </w:tblStylePr>
    <w:tblStylePr w:type="band1Horz">
      <w:tcPr>
        <w:shd w:val="clear" w:color="auto" w:fill="A7C0DE" w:themeFill="accent1" w:themeFillTint="7F"/>
      </w:tcPr>
    </w:tblStylePr>
  </w:style>
  <w:style w:type="table" w:styleId="117">
    <w:name w:val="Medium Grid 1 Accent 2"/>
    <w:basedOn w:val="1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cPr>
        <w:tcBorders>
          <w:top w:val="single" w:color="CF7B79" w:themeColor="accent2" w:themeTint="BF" w:sz="18" w:space="0"/>
        </w:tcBorders>
      </w:tcPr>
    </w:tblStylePr>
    <w:tblStylePr w:type="firstCol">
      <w:rPr>
        <w:b/>
        <w:bCs/>
      </w:rPr>
    </w:tblStylePr>
    <w:tblStylePr w:type="lastCol">
      <w:rPr>
        <w:b/>
        <w:bCs/>
      </w:rPr>
    </w:tblStylePr>
    <w:tblStylePr w:type="band1Vert">
      <w:tcPr>
        <w:shd w:val="clear" w:color="auto" w:fill="DFA7A6" w:themeFill="accent2" w:themeFillTint="7F"/>
      </w:tcPr>
    </w:tblStylePr>
    <w:tblStylePr w:type="band1Horz">
      <w:tcPr>
        <w:shd w:val="clear" w:color="auto" w:fill="DFA7A6" w:themeFill="accent2" w:themeFillTint="7F"/>
      </w:tcPr>
    </w:tblStylePr>
  </w:style>
  <w:style w:type="table" w:styleId="118">
    <w:name w:val="Medium Grid 1 Accent 3"/>
    <w:basedOn w:val="1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cPr>
        <w:tcBorders>
          <w:top w:val="single" w:color="B4CC82" w:themeColor="accent3" w:themeTint="BF" w:sz="18" w:space="0"/>
        </w:tcBorders>
      </w:tcPr>
    </w:tblStylePr>
    <w:tblStylePr w:type="firstCol">
      <w:rPr>
        <w:b/>
        <w:bCs/>
      </w:rPr>
    </w:tblStylePr>
    <w:tblStylePr w:type="lastCol">
      <w:rPr>
        <w:b/>
        <w:bCs/>
      </w:rPr>
    </w:tblStylePr>
    <w:tblStylePr w:type="band1Vert">
      <w:tcPr>
        <w:shd w:val="clear" w:color="auto" w:fill="CDDDAC" w:themeFill="accent3" w:themeFillTint="7F"/>
      </w:tcPr>
    </w:tblStylePr>
    <w:tblStylePr w:type="band1Horz">
      <w:tcPr>
        <w:shd w:val="clear" w:color="auto" w:fill="CDDDAC" w:themeFill="accent3" w:themeFillTint="7F"/>
      </w:tcPr>
    </w:tblStylePr>
  </w:style>
  <w:style w:type="table" w:styleId="119">
    <w:name w:val="Medium Grid 1 Accent 4"/>
    <w:basedOn w:val="1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cPr>
        <w:tcBorders>
          <w:top w:val="single" w:color="9F8AB9" w:themeColor="accent4" w:themeTint="BF" w:sz="18" w:space="0"/>
        </w:tcBorders>
      </w:tcPr>
    </w:tblStylePr>
    <w:tblStylePr w:type="firstCol">
      <w:rPr>
        <w:b/>
        <w:bCs/>
      </w:rPr>
    </w:tblStylePr>
    <w:tblStylePr w:type="lastCol">
      <w:rPr>
        <w:b/>
        <w:bCs/>
      </w:rPr>
    </w:tblStylePr>
    <w:tblStylePr w:type="band1Vert">
      <w:tcPr>
        <w:shd w:val="clear" w:color="auto" w:fill="BFB1D0" w:themeFill="accent4" w:themeFillTint="7F"/>
      </w:tcPr>
    </w:tblStylePr>
    <w:tblStylePr w:type="band1Horz">
      <w:tcPr>
        <w:shd w:val="clear" w:color="auto" w:fill="BFB1D0" w:themeFill="accent4" w:themeFillTint="7F"/>
      </w:tcPr>
    </w:tblStylePr>
  </w:style>
  <w:style w:type="table" w:styleId="120">
    <w:name w:val="Medium Grid 1 Accent 5"/>
    <w:basedOn w:val="1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cPr>
        <w:tcBorders>
          <w:top w:val="single" w:color="78C0D4" w:themeColor="accent5" w:themeTint="BF" w:sz="18" w:space="0"/>
        </w:tcBorders>
      </w:tcPr>
    </w:tblStylePr>
    <w:tblStylePr w:type="firstCol">
      <w:rPr>
        <w:b/>
        <w:bCs/>
      </w:rPr>
    </w:tblStylePr>
    <w:tblStylePr w:type="lastCol">
      <w:rPr>
        <w:b/>
        <w:bCs/>
      </w:rPr>
    </w:tblStylePr>
    <w:tblStylePr w:type="band1Vert">
      <w:tcPr>
        <w:shd w:val="clear" w:color="auto" w:fill="A5D5E2" w:themeFill="accent5" w:themeFillTint="7F"/>
      </w:tcPr>
    </w:tblStylePr>
    <w:tblStylePr w:type="band1Horz">
      <w:tcPr>
        <w:shd w:val="clear" w:color="auto" w:fill="A5D5E2" w:themeFill="accent5" w:themeFillTint="7F"/>
      </w:tcPr>
    </w:tblStylePr>
  </w:style>
  <w:style w:type="table" w:styleId="121">
    <w:name w:val="Medium Grid 1 Accent 6"/>
    <w:basedOn w:val="1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cPr>
        <w:tcBorders>
          <w:top w:val="single" w:color="F9B074" w:themeColor="accent6" w:themeTint="BF" w:sz="18" w:space="0"/>
        </w:tcBorders>
      </w:tcPr>
    </w:tblStylePr>
    <w:tblStylePr w:type="firstCol">
      <w:rPr>
        <w:b/>
        <w:bCs/>
      </w:rPr>
    </w:tblStylePr>
    <w:tblStylePr w:type="lastCol">
      <w:rPr>
        <w:b/>
        <w:bCs/>
      </w:rPr>
    </w:tblStylePr>
    <w:tblStylePr w:type="band1Vert">
      <w:tcPr>
        <w:shd w:val="clear" w:color="auto" w:fill="FBCAA2" w:themeFill="accent6" w:themeFillTint="7F"/>
      </w:tcPr>
    </w:tblStylePr>
    <w:tblStylePr w:type="band1Horz">
      <w:tcPr>
        <w:shd w:val="clear" w:color="auto" w:fill="FBCAA2" w:themeFill="accent6" w:themeFillTint="7F"/>
      </w:tcPr>
    </w:tblStylePr>
  </w:style>
  <w:style w:type="table" w:styleId="122">
    <w:name w:val="Medium Grid 2"/>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cPr>
        <w:shd w:val="clear" w:color="auto" w:fill="E5E5E5" w:themeFill="text1" w:themeFillTint="19"/>
      </w:tcPr>
    </w:tblStylePr>
    <w:tblStylePr w:type="lastRow">
      <w:rPr>
        <w:b/>
        <w:bCs/>
        <w:color w:val="000000" w:themeColor="text1"/>
        <w14:textFill>
          <w14:solidFill>
            <w14:schemeClr w14:val="tx1"/>
          </w14:solidFill>
        </w14:textFill>
      </w:r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cPr>
        <w:tcBorders>
          <w:top w:val="nil"/>
          <w:left w:val="nil"/>
          <w:bottom w:val="nil"/>
          <w:right w:val="nil"/>
          <w:insideH w:val="nil"/>
          <w:insideV w:val="nil"/>
        </w:tcBorders>
        <w:shd w:val="clear" w:color="auto" w:fill="CCCCCC" w:themeFill="text1" w:themeFillTint="33"/>
      </w:tcPr>
    </w:tblStylePr>
    <w:tblStylePr w:type="band1Vert">
      <w:tcPr>
        <w:shd w:val="clear" w:color="auto" w:fill="7F7F7F" w:themeFill="text1" w:themeFillTint="7F"/>
      </w:tcPr>
    </w:tblStylePr>
    <w:tblStylePr w:type="band1Horz">
      <w:tcPr>
        <w:tcBorders>
          <w:insideH w:val="single" w:sz="6" w:space="0"/>
          <w:insideV w:val="single" w:sz="6" w:space="0"/>
        </w:tcBorders>
        <w:shd w:val="clear" w:color="auto" w:fill="7F7F7F" w:themeFill="text1" w:themeFillTint="7F"/>
      </w:tcPr>
    </w:tblStylePr>
    <w:tblStylePr w:type="nwCell">
      <w:tcPr>
        <w:shd w:val="clear" w:color="auto" w:fill="FFFFFF" w:themeFill="background1"/>
      </w:tcPr>
    </w:tblStylePr>
  </w:style>
  <w:style w:type="table" w:styleId="123">
    <w:name w:val="Medium Grid 2 Accent 1"/>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cPr>
        <w:shd w:val="clear" w:color="auto" w:fill="EDF2F8" w:themeFill="accent1" w:themeFillTint="19"/>
      </w:tcPr>
    </w:tblStylePr>
    <w:tblStylePr w:type="lastRow">
      <w:rPr>
        <w:b/>
        <w:bCs/>
        <w:color w:val="000000" w:themeColor="text1"/>
        <w14:textFill>
          <w14:solidFill>
            <w14:schemeClr w14:val="tx1"/>
          </w14:solidFill>
        </w14:textFill>
      </w:r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cPr>
        <w:tcBorders>
          <w:top w:val="nil"/>
          <w:left w:val="nil"/>
          <w:bottom w:val="nil"/>
          <w:right w:val="nil"/>
          <w:insideH w:val="nil"/>
          <w:insideV w:val="nil"/>
        </w:tcBorders>
        <w:shd w:val="clear" w:color="auto" w:fill="DBE5F1" w:themeFill="accent1" w:themeFillTint="33"/>
      </w:tcPr>
    </w:tblStylePr>
    <w:tblStylePr w:type="band1Vert">
      <w:tcPr>
        <w:shd w:val="clear" w:color="auto" w:fill="A7C0DE" w:themeFill="accent1" w:themeFillTint="7F"/>
      </w:tcPr>
    </w:tblStylePr>
    <w:tblStylePr w:type="band1Horz">
      <w:tcPr>
        <w:tcBorders>
          <w:insideH w:val="single" w:sz="6" w:space="0"/>
          <w:insideV w:val="single" w:sz="6" w:space="0"/>
        </w:tcBorders>
        <w:shd w:val="clear" w:color="auto" w:fill="A7C0DE" w:themeFill="accent1" w:themeFillTint="7F"/>
      </w:tcPr>
    </w:tblStylePr>
    <w:tblStylePr w:type="nwCell">
      <w:tcPr>
        <w:shd w:val="clear" w:color="auto" w:fill="FFFFFF" w:themeFill="background1"/>
      </w:tcPr>
    </w:tblStylePr>
  </w:style>
  <w:style w:type="table" w:styleId="124">
    <w:name w:val="Medium Grid 2 Accent 2"/>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cPr>
        <w:shd w:val="clear" w:color="auto" w:fill="F8EDED" w:themeFill="accent2" w:themeFillTint="19"/>
      </w:tcPr>
    </w:tblStylePr>
    <w:tblStylePr w:type="lastRow">
      <w:rPr>
        <w:b/>
        <w:bCs/>
        <w:color w:val="000000" w:themeColor="text1"/>
        <w14:textFill>
          <w14:solidFill>
            <w14:schemeClr w14:val="tx1"/>
          </w14:solidFill>
        </w14:textFill>
      </w:r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cPr>
        <w:tcBorders>
          <w:top w:val="nil"/>
          <w:left w:val="nil"/>
          <w:bottom w:val="nil"/>
          <w:right w:val="nil"/>
          <w:insideH w:val="nil"/>
          <w:insideV w:val="nil"/>
        </w:tcBorders>
        <w:shd w:val="clear" w:color="auto" w:fill="F2DBDB" w:themeFill="accent2" w:themeFillTint="33"/>
      </w:tcPr>
    </w:tblStylePr>
    <w:tblStylePr w:type="band1Vert">
      <w:tcPr>
        <w:shd w:val="clear" w:color="auto" w:fill="DFA7A6" w:themeFill="accent2" w:themeFillTint="7F"/>
      </w:tcPr>
    </w:tblStylePr>
    <w:tblStylePr w:type="band1Horz">
      <w:tcPr>
        <w:tcBorders>
          <w:insideH w:val="single" w:sz="6" w:space="0"/>
          <w:insideV w:val="single" w:sz="6" w:space="0"/>
        </w:tcBorders>
        <w:shd w:val="clear" w:color="auto" w:fill="DFA7A6" w:themeFill="accent2" w:themeFillTint="7F"/>
      </w:tcPr>
    </w:tblStylePr>
    <w:tblStylePr w:type="nwCell">
      <w:tcPr>
        <w:shd w:val="clear" w:color="auto" w:fill="FFFFFF" w:themeFill="background1"/>
      </w:tcPr>
    </w:tblStylePr>
  </w:style>
  <w:style w:type="table" w:styleId="125">
    <w:name w:val="Medium Grid 2 Accent 3"/>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cPr>
        <w:shd w:val="clear" w:color="auto" w:fill="F5F8EE" w:themeFill="accent3" w:themeFillTint="19"/>
      </w:tcPr>
    </w:tblStylePr>
    <w:tblStylePr w:type="lastRow">
      <w:rPr>
        <w:b/>
        <w:bCs/>
        <w:color w:val="000000" w:themeColor="text1"/>
        <w14:textFill>
          <w14:solidFill>
            <w14:schemeClr w14:val="tx1"/>
          </w14:solidFill>
        </w14:textFill>
      </w:r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cPr>
        <w:tcBorders>
          <w:top w:val="nil"/>
          <w:left w:val="nil"/>
          <w:bottom w:val="nil"/>
          <w:right w:val="nil"/>
          <w:insideH w:val="nil"/>
          <w:insideV w:val="nil"/>
        </w:tcBorders>
        <w:shd w:val="clear" w:color="auto" w:fill="EAF1DD" w:themeFill="accent3" w:themeFillTint="33"/>
      </w:tcPr>
    </w:tblStylePr>
    <w:tblStylePr w:type="band1Vert">
      <w:tcPr>
        <w:shd w:val="clear" w:color="auto" w:fill="CDDDAC" w:themeFill="accent3" w:themeFillTint="7F"/>
      </w:tcPr>
    </w:tblStylePr>
    <w:tblStylePr w:type="band1Horz">
      <w:tcPr>
        <w:tcBorders>
          <w:insideH w:val="single" w:sz="6" w:space="0"/>
          <w:insideV w:val="single" w:sz="6" w:space="0"/>
        </w:tcBorders>
        <w:shd w:val="clear" w:color="auto" w:fill="CDDDAC" w:themeFill="accent3" w:themeFillTint="7F"/>
      </w:tcPr>
    </w:tblStylePr>
    <w:tblStylePr w:type="nwCell">
      <w:tcPr>
        <w:shd w:val="clear" w:color="auto" w:fill="FFFFFF" w:themeFill="background1"/>
      </w:tcPr>
    </w:tblStylePr>
  </w:style>
  <w:style w:type="table" w:styleId="126">
    <w:name w:val="Medium Grid 2 Accent 4"/>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cPr>
        <w:shd w:val="clear" w:color="auto" w:fill="F2EFF5" w:themeFill="accent4" w:themeFillTint="19"/>
      </w:tcPr>
    </w:tblStylePr>
    <w:tblStylePr w:type="lastRow">
      <w:rPr>
        <w:b/>
        <w:bCs/>
        <w:color w:val="000000" w:themeColor="text1"/>
        <w14:textFill>
          <w14:solidFill>
            <w14:schemeClr w14:val="tx1"/>
          </w14:solidFill>
        </w14:textFill>
      </w:r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cPr>
        <w:tcBorders>
          <w:top w:val="nil"/>
          <w:left w:val="nil"/>
          <w:bottom w:val="nil"/>
          <w:right w:val="nil"/>
          <w:insideH w:val="nil"/>
          <w:insideV w:val="nil"/>
        </w:tcBorders>
        <w:shd w:val="clear" w:color="auto" w:fill="E5DFEC" w:themeFill="accent4" w:themeFillTint="33"/>
      </w:tcPr>
    </w:tblStylePr>
    <w:tblStylePr w:type="band1Vert">
      <w:tcPr>
        <w:shd w:val="clear" w:color="auto" w:fill="BFB1D0" w:themeFill="accent4" w:themeFillTint="7F"/>
      </w:tcPr>
    </w:tblStylePr>
    <w:tblStylePr w:type="band1Horz">
      <w:tcPr>
        <w:tcBorders>
          <w:insideH w:val="single" w:sz="6" w:space="0"/>
          <w:insideV w:val="single" w:sz="6" w:space="0"/>
        </w:tcBorders>
        <w:shd w:val="clear" w:color="auto" w:fill="BFB1D0" w:themeFill="accent4" w:themeFillTint="7F"/>
      </w:tcPr>
    </w:tblStylePr>
    <w:tblStylePr w:type="nwCell">
      <w:tcPr>
        <w:shd w:val="clear" w:color="auto" w:fill="FFFFFF" w:themeFill="background1"/>
      </w:tcPr>
    </w:tblStylePr>
  </w:style>
  <w:style w:type="table" w:styleId="127">
    <w:name w:val="Medium Grid 2 Accent 5"/>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cPr>
        <w:shd w:val="clear" w:color="auto" w:fill="EDF6F9" w:themeFill="accent5" w:themeFillTint="19"/>
      </w:tcPr>
    </w:tblStylePr>
    <w:tblStylePr w:type="lastRow">
      <w:rPr>
        <w:b/>
        <w:bCs/>
        <w:color w:val="000000" w:themeColor="text1"/>
        <w14:textFill>
          <w14:solidFill>
            <w14:schemeClr w14:val="tx1"/>
          </w14:solidFill>
        </w14:textFill>
      </w:r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cPr>
        <w:tcBorders>
          <w:top w:val="nil"/>
          <w:left w:val="nil"/>
          <w:bottom w:val="nil"/>
          <w:right w:val="nil"/>
          <w:insideH w:val="nil"/>
          <w:insideV w:val="nil"/>
        </w:tcBorders>
        <w:shd w:val="clear" w:color="auto" w:fill="DAEEF3" w:themeFill="accent5" w:themeFillTint="33"/>
      </w:tcPr>
    </w:tblStylePr>
    <w:tblStylePr w:type="band1Vert">
      <w:tcPr>
        <w:shd w:val="clear" w:color="auto" w:fill="A5D5E2" w:themeFill="accent5" w:themeFillTint="7F"/>
      </w:tcPr>
    </w:tblStylePr>
    <w:tblStylePr w:type="band1Horz">
      <w:tcPr>
        <w:tcBorders>
          <w:insideH w:val="single" w:sz="6" w:space="0"/>
          <w:insideV w:val="single" w:sz="6" w:space="0"/>
        </w:tcBorders>
        <w:shd w:val="clear" w:color="auto" w:fill="A5D5E2" w:themeFill="accent5" w:themeFillTint="7F"/>
      </w:tcPr>
    </w:tblStylePr>
    <w:tblStylePr w:type="nwCell">
      <w:tcPr>
        <w:shd w:val="clear" w:color="auto" w:fill="FFFFFF" w:themeFill="background1"/>
      </w:tcPr>
    </w:tblStylePr>
  </w:style>
  <w:style w:type="table" w:styleId="128">
    <w:name w:val="Medium Grid 2 Accent 6"/>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cPr>
        <w:shd w:val="clear" w:color="auto" w:fill="FEF4EC" w:themeFill="accent6" w:themeFillTint="19"/>
      </w:tcPr>
    </w:tblStylePr>
    <w:tblStylePr w:type="lastRow">
      <w:rPr>
        <w:b/>
        <w:bCs/>
        <w:color w:val="000000" w:themeColor="text1"/>
        <w14:textFill>
          <w14:solidFill>
            <w14:schemeClr w14:val="tx1"/>
          </w14:solidFill>
        </w14:textFill>
      </w:r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cPr>
        <w:tcBorders>
          <w:top w:val="nil"/>
          <w:left w:val="nil"/>
          <w:bottom w:val="nil"/>
          <w:right w:val="nil"/>
          <w:insideH w:val="nil"/>
          <w:insideV w:val="nil"/>
        </w:tcBorders>
        <w:shd w:val="clear" w:color="auto" w:fill="FDE9D9" w:themeFill="accent6" w:themeFillTint="33"/>
      </w:tcPr>
    </w:tblStylePr>
    <w:tblStylePr w:type="band1Vert">
      <w:tcPr>
        <w:shd w:val="clear" w:color="auto" w:fill="FBCAA2" w:themeFill="accent6" w:themeFillTint="7F"/>
      </w:tcPr>
    </w:tblStylePr>
    <w:tblStylePr w:type="band1Horz">
      <w:tcPr>
        <w:tcBorders>
          <w:insideH w:val="single" w:sz="6" w:space="0"/>
          <w:insideV w:val="single" w:sz="6" w:space="0"/>
        </w:tcBorders>
        <w:shd w:val="clear" w:color="auto" w:fill="FBCAA2" w:themeFill="accent6" w:themeFillTint="7F"/>
      </w:tcPr>
    </w:tblStylePr>
    <w:tblStylePr w:type="nwCell">
      <w:tcPr>
        <w:shd w:val="clear" w:color="auto" w:fill="FFFFFF" w:themeFill="background1"/>
      </w:tcPr>
    </w:tblStylePr>
  </w:style>
  <w:style w:type="table" w:styleId="129">
    <w:name w:val="Medium Grid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cPr>
        <w:tcBorders>
          <w:top w:val="nil"/>
          <w:left w:val="single" w:color="FFFFFF" w:themeColor="background1" w:sz="24" w:space="0"/>
          <w:bottom w:val="nil"/>
          <w:right w:val="nil"/>
          <w:insideH w:val="nil"/>
          <w:insideV w:val="nil"/>
        </w:tcBorders>
        <w:shd w:val="clear" w:color="auto" w:fill="000000" w:themeFill="text1"/>
      </w:tcPr>
    </w:tblStylePr>
    <w:tblStylePr w:type="band1Vert">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30">
    <w:name w:val="Medium Grid 3 Accent 1"/>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cPr>
        <w:tcBorders>
          <w:top w:val="nil"/>
          <w:left w:val="single" w:color="FFFFFF" w:themeColor="background1" w:sz="24" w:space="0"/>
          <w:bottom w:val="nil"/>
          <w:right w:val="nil"/>
          <w:insideH w:val="nil"/>
          <w:insideV w:val="nil"/>
        </w:tcBorders>
        <w:shd w:val="clear" w:color="auto" w:fill="4F81BD" w:themeFill="accent1"/>
      </w:tcPr>
    </w:tblStylePr>
    <w:tblStylePr w:type="band1Vert">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31">
    <w:name w:val="Medium Grid 3 Accent 2"/>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cPr>
        <w:tcBorders>
          <w:top w:val="nil"/>
          <w:left w:val="single" w:color="FFFFFF" w:themeColor="background1" w:sz="24" w:space="0"/>
          <w:bottom w:val="nil"/>
          <w:right w:val="nil"/>
          <w:insideH w:val="nil"/>
          <w:insideV w:val="nil"/>
        </w:tcBorders>
        <w:shd w:val="clear" w:color="auto" w:fill="C0504D" w:themeFill="accent2"/>
      </w:tcPr>
    </w:tblStylePr>
    <w:tblStylePr w:type="band1Vert">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32">
    <w:name w:val="Medium Grid 3 Accent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cPr>
        <w:tcBorders>
          <w:top w:val="nil"/>
          <w:left w:val="single" w:color="FFFFFF" w:themeColor="background1" w:sz="24" w:space="0"/>
          <w:bottom w:val="nil"/>
          <w:right w:val="nil"/>
          <w:insideH w:val="nil"/>
          <w:insideV w:val="nil"/>
        </w:tcBorders>
        <w:shd w:val="clear" w:color="auto" w:fill="9BBB59" w:themeFill="accent3"/>
      </w:tcPr>
    </w:tblStylePr>
    <w:tblStylePr w:type="band1Vert">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33">
    <w:name w:val="Medium Grid 3 Accent 4"/>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cPr>
        <w:tcBorders>
          <w:top w:val="nil"/>
          <w:left w:val="single" w:color="FFFFFF" w:themeColor="background1" w:sz="24" w:space="0"/>
          <w:bottom w:val="nil"/>
          <w:right w:val="nil"/>
          <w:insideH w:val="nil"/>
          <w:insideV w:val="nil"/>
        </w:tcBorders>
        <w:shd w:val="clear" w:color="auto" w:fill="8064A2" w:themeFill="accent4"/>
      </w:tcPr>
    </w:tblStylePr>
    <w:tblStylePr w:type="band1Vert">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34">
    <w:name w:val="Medium Grid 3 Accent 5"/>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cPr>
        <w:tcBorders>
          <w:top w:val="nil"/>
          <w:left w:val="single" w:color="FFFFFF" w:themeColor="background1" w:sz="24" w:space="0"/>
          <w:bottom w:val="nil"/>
          <w:right w:val="nil"/>
          <w:insideH w:val="nil"/>
          <w:insideV w:val="nil"/>
        </w:tcBorders>
        <w:shd w:val="clear" w:color="auto" w:fill="4BACC6" w:themeFill="accent5"/>
      </w:tcPr>
    </w:tblStylePr>
    <w:tblStylePr w:type="band1Vert">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35">
    <w:name w:val="Medium Grid 3 Accent 6"/>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cPr>
        <w:tcBorders>
          <w:top w:val="nil"/>
          <w:left w:val="single" w:color="FFFFFF" w:themeColor="background1" w:sz="24" w:space="0"/>
          <w:bottom w:val="nil"/>
          <w:right w:val="nil"/>
          <w:insideH w:val="nil"/>
          <w:insideV w:val="nil"/>
        </w:tcBorders>
        <w:shd w:val="clear" w:color="auto" w:fill="F79646" w:themeFill="accent6"/>
      </w:tcPr>
    </w:tblStylePr>
    <w:tblStylePr w:type="band1Vert">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36">
    <w:name w:val="Dark List"/>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cPr>
        <w:tcBorders>
          <w:top w:val="nil"/>
          <w:left w:val="nil"/>
          <w:bottom w:val="single" w:color="FFFFFF" w:themeColor="background1" w:sz="18" w:space="0"/>
          <w:right w:val="nil"/>
          <w:insideH w:val="nil"/>
          <w:insideV w:val="nil"/>
        </w:tcBorders>
        <w:shd w:val="clear" w:color="auto" w:fill="000000" w:themeFill="text1"/>
      </w:tcPr>
    </w:tblStylePr>
    <w:tblStylePr w:type="lastRow">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cPr>
        <w:tcBorders>
          <w:top w:val="nil"/>
          <w:left w:val="nil"/>
          <w:bottom w:val="nil"/>
          <w:right w:val="nil"/>
          <w:insideH w:val="nil"/>
          <w:insideV w:val="nil"/>
        </w:tcBorders>
        <w:shd w:val="clear" w:color="auto" w:fill="000000" w:themeFill="text1" w:themeFillShade="BF"/>
      </w:tcPr>
    </w:tblStylePr>
    <w:tblStylePr w:type="band1Horz">
      <w:tcPr>
        <w:tcBorders>
          <w:top w:val="nil"/>
          <w:left w:val="nil"/>
          <w:bottom w:val="nil"/>
          <w:right w:val="nil"/>
          <w:insideH w:val="nil"/>
          <w:insideV w:val="nil"/>
        </w:tcBorders>
        <w:shd w:val="clear" w:color="auto" w:fill="000000" w:themeFill="text1" w:themeFillShade="BF"/>
      </w:tcPr>
    </w:tblStylePr>
  </w:style>
  <w:style w:type="table" w:styleId="137">
    <w:name w:val="Dark List Accent 1"/>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cPr>
        <w:tcBorders>
          <w:top w:val="nil"/>
          <w:left w:val="nil"/>
          <w:bottom w:val="single" w:color="FFFFFF" w:themeColor="background1" w:sz="18" w:space="0"/>
          <w:right w:val="nil"/>
          <w:insideH w:val="nil"/>
          <w:insideV w:val="nil"/>
        </w:tcBorders>
        <w:shd w:val="clear" w:color="auto" w:fill="000000" w:themeFill="text1"/>
      </w:tcPr>
    </w:tblStylePr>
    <w:tblStylePr w:type="lastRow">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cPr>
        <w:tcBorders>
          <w:top w:val="nil"/>
          <w:left w:val="nil"/>
          <w:bottom w:val="nil"/>
          <w:right w:val="nil"/>
          <w:insideH w:val="nil"/>
          <w:insideV w:val="nil"/>
        </w:tcBorders>
        <w:shd w:val="clear" w:color="auto" w:fill="366091" w:themeFill="accent1" w:themeFillShade="BF"/>
      </w:tcPr>
    </w:tblStylePr>
    <w:tblStylePr w:type="band1Horz">
      <w:tcPr>
        <w:tcBorders>
          <w:top w:val="nil"/>
          <w:left w:val="nil"/>
          <w:bottom w:val="nil"/>
          <w:right w:val="nil"/>
          <w:insideH w:val="nil"/>
          <w:insideV w:val="nil"/>
        </w:tcBorders>
        <w:shd w:val="clear" w:color="auto" w:fill="366091" w:themeFill="accent1" w:themeFillShade="BF"/>
      </w:tcPr>
    </w:tblStylePr>
  </w:style>
  <w:style w:type="table" w:styleId="138">
    <w:name w:val="Dark List Accent 2"/>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cPr>
        <w:tcBorders>
          <w:top w:val="nil"/>
          <w:left w:val="nil"/>
          <w:bottom w:val="single" w:color="FFFFFF" w:themeColor="background1" w:sz="18" w:space="0"/>
          <w:right w:val="nil"/>
          <w:insideH w:val="nil"/>
          <w:insideV w:val="nil"/>
        </w:tcBorders>
        <w:shd w:val="clear" w:color="auto" w:fill="000000" w:themeFill="text1"/>
      </w:tcPr>
    </w:tblStylePr>
    <w:tblStylePr w:type="lastRow">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cPr>
        <w:tcBorders>
          <w:top w:val="nil"/>
          <w:left w:val="nil"/>
          <w:bottom w:val="nil"/>
          <w:right w:val="nil"/>
          <w:insideH w:val="nil"/>
          <w:insideV w:val="nil"/>
        </w:tcBorders>
        <w:shd w:val="clear" w:color="auto" w:fill="943734" w:themeFill="accent2" w:themeFillShade="BF"/>
      </w:tcPr>
    </w:tblStylePr>
    <w:tblStylePr w:type="band1Horz">
      <w:tcPr>
        <w:tcBorders>
          <w:top w:val="nil"/>
          <w:left w:val="nil"/>
          <w:bottom w:val="nil"/>
          <w:right w:val="nil"/>
          <w:insideH w:val="nil"/>
          <w:insideV w:val="nil"/>
        </w:tcBorders>
        <w:shd w:val="clear" w:color="auto" w:fill="943734" w:themeFill="accent2" w:themeFillShade="BF"/>
      </w:tcPr>
    </w:tblStylePr>
  </w:style>
  <w:style w:type="table" w:styleId="139">
    <w:name w:val="Dark List Accent 3"/>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cPr>
        <w:tcBorders>
          <w:top w:val="nil"/>
          <w:left w:val="nil"/>
          <w:bottom w:val="single" w:color="FFFFFF" w:themeColor="background1" w:sz="18" w:space="0"/>
          <w:right w:val="nil"/>
          <w:insideH w:val="nil"/>
          <w:insideV w:val="nil"/>
        </w:tcBorders>
        <w:shd w:val="clear" w:color="auto" w:fill="000000" w:themeFill="text1"/>
      </w:tcPr>
    </w:tblStylePr>
    <w:tblStylePr w:type="lastRow">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cPr>
        <w:tcBorders>
          <w:top w:val="nil"/>
          <w:left w:val="nil"/>
          <w:bottom w:val="nil"/>
          <w:right w:val="nil"/>
          <w:insideH w:val="nil"/>
          <w:insideV w:val="nil"/>
        </w:tcBorders>
        <w:shd w:val="clear" w:color="auto" w:fill="76923C" w:themeFill="accent3" w:themeFillShade="BF"/>
      </w:tcPr>
    </w:tblStylePr>
    <w:tblStylePr w:type="band1Horz">
      <w:tcPr>
        <w:tcBorders>
          <w:top w:val="nil"/>
          <w:left w:val="nil"/>
          <w:bottom w:val="nil"/>
          <w:right w:val="nil"/>
          <w:insideH w:val="nil"/>
          <w:insideV w:val="nil"/>
        </w:tcBorders>
        <w:shd w:val="clear" w:color="auto" w:fill="76923C" w:themeFill="accent3" w:themeFillShade="BF"/>
      </w:tcPr>
    </w:tblStylePr>
  </w:style>
  <w:style w:type="table" w:styleId="140">
    <w:name w:val="Dark List Accent 4"/>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cPr>
        <w:tcBorders>
          <w:top w:val="nil"/>
          <w:left w:val="nil"/>
          <w:bottom w:val="single" w:color="FFFFFF" w:themeColor="background1" w:sz="18" w:space="0"/>
          <w:right w:val="nil"/>
          <w:insideH w:val="nil"/>
          <w:insideV w:val="nil"/>
        </w:tcBorders>
        <w:shd w:val="clear" w:color="auto" w:fill="000000" w:themeFill="text1"/>
      </w:tcPr>
    </w:tblStylePr>
    <w:tblStylePr w:type="lastRow">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cPr>
        <w:tcBorders>
          <w:top w:val="nil"/>
          <w:left w:val="nil"/>
          <w:bottom w:val="nil"/>
          <w:right w:val="nil"/>
          <w:insideH w:val="nil"/>
          <w:insideV w:val="nil"/>
        </w:tcBorders>
        <w:shd w:val="clear" w:color="auto" w:fill="5F497A" w:themeFill="accent4" w:themeFillShade="BF"/>
      </w:tcPr>
    </w:tblStylePr>
    <w:tblStylePr w:type="band1Horz">
      <w:tcPr>
        <w:tcBorders>
          <w:top w:val="nil"/>
          <w:left w:val="nil"/>
          <w:bottom w:val="nil"/>
          <w:right w:val="nil"/>
          <w:insideH w:val="nil"/>
          <w:insideV w:val="nil"/>
        </w:tcBorders>
        <w:shd w:val="clear" w:color="auto" w:fill="5F497A" w:themeFill="accent4" w:themeFillShade="BF"/>
      </w:tcPr>
    </w:tblStylePr>
  </w:style>
  <w:style w:type="table" w:styleId="141">
    <w:name w:val="Dark List Accent 5"/>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cPr>
        <w:tcBorders>
          <w:top w:val="nil"/>
          <w:left w:val="nil"/>
          <w:bottom w:val="single" w:color="FFFFFF" w:themeColor="background1" w:sz="18" w:space="0"/>
          <w:right w:val="nil"/>
          <w:insideH w:val="nil"/>
          <w:insideV w:val="nil"/>
        </w:tcBorders>
        <w:shd w:val="clear" w:color="auto" w:fill="000000" w:themeFill="text1"/>
      </w:tcPr>
    </w:tblStylePr>
    <w:tblStylePr w:type="lastRow">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cPr>
        <w:tcBorders>
          <w:top w:val="nil"/>
          <w:left w:val="nil"/>
          <w:bottom w:val="nil"/>
          <w:right w:val="nil"/>
          <w:insideH w:val="nil"/>
          <w:insideV w:val="nil"/>
        </w:tcBorders>
        <w:shd w:val="clear" w:color="auto" w:fill="31849B" w:themeFill="accent5" w:themeFillShade="BF"/>
      </w:tcPr>
    </w:tblStylePr>
    <w:tblStylePr w:type="band1Horz">
      <w:tcPr>
        <w:tcBorders>
          <w:top w:val="nil"/>
          <w:left w:val="nil"/>
          <w:bottom w:val="nil"/>
          <w:right w:val="nil"/>
          <w:insideH w:val="nil"/>
          <w:insideV w:val="nil"/>
        </w:tcBorders>
        <w:shd w:val="clear" w:color="auto" w:fill="31849B" w:themeFill="accent5" w:themeFillShade="BF"/>
      </w:tcPr>
    </w:tblStylePr>
  </w:style>
  <w:style w:type="table" w:styleId="142">
    <w:name w:val="Dark List Accent 6"/>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cPr>
        <w:tcBorders>
          <w:top w:val="nil"/>
          <w:left w:val="nil"/>
          <w:bottom w:val="single" w:color="FFFFFF" w:themeColor="background1" w:sz="18" w:space="0"/>
          <w:right w:val="nil"/>
          <w:insideH w:val="nil"/>
          <w:insideV w:val="nil"/>
        </w:tcBorders>
        <w:shd w:val="clear" w:color="auto" w:fill="000000" w:themeFill="text1"/>
      </w:tcPr>
    </w:tblStylePr>
    <w:tblStylePr w:type="lastRow">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cPr>
        <w:tcBorders>
          <w:top w:val="nil"/>
          <w:left w:val="nil"/>
          <w:bottom w:val="nil"/>
          <w:right w:val="nil"/>
          <w:insideH w:val="nil"/>
          <w:insideV w:val="nil"/>
        </w:tcBorders>
        <w:shd w:val="clear" w:color="auto" w:fill="E36C09" w:themeFill="accent6" w:themeFillShade="BF"/>
      </w:tcPr>
    </w:tblStylePr>
    <w:tblStylePr w:type="band1Horz">
      <w:tcPr>
        <w:tcBorders>
          <w:top w:val="nil"/>
          <w:left w:val="nil"/>
          <w:bottom w:val="nil"/>
          <w:right w:val="nil"/>
          <w:insideH w:val="nil"/>
          <w:insideV w:val="nil"/>
        </w:tcBorders>
        <w:shd w:val="clear" w:color="auto" w:fill="E36C09" w:themeFill="accent6" w:themeFillShade="BF"/>
      </w:tcPr>
    </w:tblStylePr>
  </w:style>
  <w:style w:type="table" w:styleId="143">
    <w:name w:val="Colorful Shading"/>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cPr>
        <w:tcBorders>
          <w:top w:val="nil"/>
          <w:left w:val="nil"/>
          <w:bottom w:val="nil"/>
          <w:right w:val="nil"/>
          <w:insideH w:val="nil"/>
          <w:insideV w:val="nil"/>
        </w:tcBorders>
        <w:shd w:val="clear" w:color="auto" w:fill="000000" w:themeFill="text1" w:themeFillShade="BF"/>
      </w:tcPr>
    </w:tblStylePr>
    <w:tblStylePr w:type="band1Vert">
      <w:tcPr>
        <w:shd w:val="clear" w:color="auto" w:fill="999999" w:themeFill="text1" w:themeFillTint="66"/>
      </w:tcPr>
    </w:tblStylePr>
    <w:tblStylePr w:type="band1Horz">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44">
    <w:name w:val="Colorful Shading Accent 1"/>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cPr>
        <w:tcBorders>
          <w:top w:val="nil"/>
          <w:left w:val="nil"/>
          <w:bottom w:val="nil"/>
          <w:right w:val="nil"/>
          <w:insideH w:val="nil"/>
          <w:insideV w:val="nil"/>
        </w:tcBorders>
        <w:shd w:val="clear" w:color="auto" w:fill="2B4D74" w:themeFill="accent1" w:themeFillShade="99"/>
      </w:tcPr>
    </w:tblStylePr>
    <w:tblStylePr w:type="band1Vert">
      <w:tcPr>
        <w:shd w:val="clear" w:color="auto" w:fill="B8CCE4" w:themeFill="accent1" w:themeFillTint="66"/>
      </w:tcPr>
    </w:tblStylePr>
    <w:tblStylePr w:type="band1Horz">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45">
    <w:name w:val="Colorful Shading Accent 2"/>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cPr>
        <w:tcBorders>
          <w:top w:val="nil"/>
          <w:left w:val="nil"/>
          <w:bottom w:val="nil"/>
          <w:right w:val="nil"/>
          <w:insideH w:val="nil"/>
          <w:insideV w:val="nil"/>
        </w:tcBorders>
        <w:shd w:val="clear" w:color="auto" w:fill="772C2A" w:themeFill="accent2" w:themeFillShade="99"/>
      </w:tcPr>
    </w:tblStylePr>
    <w:tblStylePr w:type="band1Vert">
      <w:tcPr>
        <w:shd w:val="clear" w:color="auto" w:fill="E5B8B7" w:themeFill="accent2" w:themeFillTint="66"/>
      </w:tcPr>
    </w:tblStylePr>
    <w:tblStylePr w:type="band1Horz">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46">
    <w:name w:val="Colorful Shading Accent 3"/>
    <w:basedOn w:val="1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cPr>
        <w:tcBorders>
          <w:top w:val="nil"/>
          <w:left w:val="nil"/>
          <w:bottom w:val="nil"/>
          <w:right w:val="nil"/>
          <w:insideH w:val="nil"/>
          <w:insideV w:val="nil"/>
        </w:tcBorders>
        <w:shd w:val="clear" w:color="auto" w:fill="5E7530" w:themeFill="accent3" w:themeFillShade="99"/>
      </w:tcPr>
    </w:tblStylePr>
    <w:tblStylePr w:type="band1Vert">
      <w:tcPr>
        <w:shd w:val="clear" w:color="auto" w:fill="D6E3BC" w:themeFill="accent3" w:themeFillTint="66"/>
      </w:tcPr>
    </w:tblStylePr>
    <w:tblStylePr w:type="band1Horz">
      <w:tcPr>
        <w:shd w:val="clear" w:color="auto" w:fill="CDDDAC" w:themeFill="accent3" w:themeFillTint="7F"/>
      </w:tcPr>
    </w:tblStylePr>
  </w:style>
  <w:style w:type="table" w:styleId="147">
    <w:name w:val="Colorful Shading Accent 4"/>
    <w:basedOn w:val="1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cPr>
        <w:tcBorders>
          <w:top w:val="nil"/>
          <w:left w:val="nil"/>
          <w:bottom w:val="nil"/>
          <w:right w:val="nil"/>
          <w:insideH w:val="nil"/>
          <w:insideV w:val="nil"/>
        </w:tcBorders>
        <w:shd w:val="clear" w:color="auto" w:fill="4C3A62" w:themeFill="accent4" w:themeFillShade="99"/>
      </w:tcPr>
    </w:tblStylePr>
    <w:tblStylePr w:type="band1Vert">
      <w:tcPr>
        <w:shd w:val="clear" w:color="auto" w:fill="CCC0D9" w:themeFill="accent4" w:themeFillTint="66"/>
      </w:tcPr>
    </w:tblStylePr>
    <w:tblStylePr w:type="band1Horz">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48">
    <w:name w:val="Colorful Shading Accent 5"/>
    <w:basedOn w:val="1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cPr>
        <w:tcBorders>
          <w:top w:val="nil"/>
          <w:left w:val="nil"/>
          <w:bottom w:val="nil"/>
          <w:right w:val="nil"/>
          <w:insideH w:val="nil"/>
          <w:insideV w:val="nil"/>
        </w:tcBorders>
        <w:shd w:val="clear" w:color="auto" w:fill="276A7C" w:themeFill="accent5" w:themeFillShade="99"/>
      </w:tcPr>
    </w:tblStylePr>
    <w:tblStylePr w:type="band1Vert">
      <w:tcPr>
        <w:shd w:val="clear" w:color="auto" w:fill="B6DDE8" w:themeFill="accent5" w:themeFillTint="66"/>
      </w:tcPr>
    </w:tblStylePr>
    <w:tblStylePr w:type="band1Horz">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49">
    <w:name w:val="Colorful Shading Accent 6"/>
    <w:basedOn w:val="1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cPr>
        <w:tcBorders>
          <w:top w:val="nil"/>
          <w:left w:val="nil"/>
          <w:bottom w:val="nil"/>
          <w:right w:val="nil"/>
          <w:insideH w:val="nil"/>
          <w:insideV w:val="nil"/>
        </w:tcBorders>
        <w:shd w:val="clear" w:color="auto" w:fill="B65607" w:themeFill="accent6" w:themeFillShade="99"/>
      </w:tcPr>
    </w:tblStylePr>
    <w:tblStylePr w:type="band1Vert">
      <w:tcPr>
        <w:shd w:val="clear" w:color="auto" w:fill="FBD4B4" w:themeFill="accent6" w:themeFillTint="66"/>
      </w:tcPr>
    </w:tblStylePr>
    <w:tblStylePr w:type="band1Horz">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50">
    <w:name w:val="Colorful List"/>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BFBFBF" w:themeFill="text1" w:themeFillTint="3F"/>
      </w:tcPr>
    </w:tblStylePr>
    <w:tblStylePr w:type="band1Horz">
      <w:tcPr>
        <w:shd w:val="clear" w:color="auto" w:fill="CCCCCC" w:themeFill="text1" w:themeFillTint="33"/>
      </w:tcPr>
    </w:tblStylePr>
  </w:style>
  <w:style w:type="table" w:styleId="151">
    <w:name w:val="Colorful List Accent 1"/>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D3DFEE" w:themeFill="accent1" w:themeFillTint="3F"/>
      </w:tcPr>
    </w:tblStylePr>
    <w:tblStylePr w:type="band1Horz">
      <w:tcPr>
        <w:shd w:val="clear" w:color="auto" w:fill="DBE5F1" w:themeFill="accent1" w:themeFillTint="33"/>
      </w:tcPr>
    </w:tblStylePr>
  </w:style>
  <w:style w:type="table" w:styleId="152">
    <w:name w:val="Colorful List Accent 2"/>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EFD3D3" w:themeFill="accent2" w:themeFillTint="3F"/>
      </w:tcPr>
    </w:tblStylePr>
    <w:tblStylePr w:type="band1Horz">
      <w:tcPr>
        <w:shd w:val="clear" w:color="auto" w:fill="F2DBDB" w:themeFill="accent2" w:themeFillTint="33"/>
      </w:tcPr>
    </w:tblStylePr>
  </w:style>
  <w:style w:type="table" w:styleId="153">
    <w:name w:val="Colorful List Accent 3"/>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E6EED5" w:themeFill="accent3" w:themeFillTint="3F"/>
      </w:tcPr>
    </w:tblStylePr>
    <w:tblStylePr w:type="band1Horz">
      <w:tcPr>
        <w:shd w:val="clear" w:color="auto" w:fill="EAF1DD" w:themeFill="accent3" w:themeFillTint="33"/>
      </w:tcPr>
    </w:tblStylePr>
  </w:style>
  <w:style w:type="table" w:styleId="154">
    <w:name w:val="Colorful List Accent 4"/>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DFD8E8" w:themeFill="accent4" w:themeFillTint="3F"/>
      </w:tcPr>
    </w:tblStylePr>
    <w:tblStylePr w:type="band1Horz">
      <w:tcPr>
        <w:shd w:val="clear" w:color="auto" w:fill="E5DFEC" w:themeFill="accent4" w:themeFillTint="33"/>
      </w:tcPr>
    </w:tblStylePr>
  </w:style>
  <w:style w:type="table" w:styleId="155">
    <w:name w:val="Colorful List Accent 5"/>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D2EAF0" w:themeFill="accent5" w:themeFillTint="3F"/>
      </w:tcPr>
    </w:tblStylePr>
    <w:tblStylePr w:type="band1Horz">
      <w:tcPr>
        <w:shd w:val="clear" w:color="auto" w:fill="DAEEF3" w:themeFill="accent5" w:themeFillTint="33"/>
      </w:tcPr>
    </w:tblStylePr>
  </w:style>
  <w:style w:type="table" w:styleId="156">
    <w:name w:val="Colorful List Accent 6"/>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FDE5D1" w:themeFill="accent6" w:themeFillTint="3F"/>
      </w:tcPr>
    </w:tblStylePr>
    <w:tblStylePr w:type="band1Horz">
      <w:tcPr>
        <w:shd w:val="clear" w:color="auto" w:fill="FDE9D9" w:themeFill="accent6" w:themeFillTint="33"/>
      </w:tcPr>
    </w:tblStylePr>
  </w:style>
  <w:style w:type="table" w:styleId="157">
    <w:name w:val="Colorful Grid"/>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cPr>
        <w:shd w:val="clear" w:color="auto" w:fill="999999" w:themeFill="text1" w:themeFillTint="66"/>
      </w:tcPr>
    </w:tblStylePr>
    <w:tblStylePr w:type="lastRow">
      <w:rPr>
        <w:b/>
        <w:bCs/>
        <w:color w:val="000000" w:themeColor="text1"/>
        <w14:textFill>
          <w14:solidFill>
            <w14:schemeClr w14:val="tx1"/>
          </w14:solidFill>
        </w14:textFill>
      </w:rPr>
      <w:tcPr>
        <w:shd w:val="clear" w:color="auto" w:fill="999999" w:themeFill="text1" w:themeFillTint="66"/>
      </w:tcPr>
    </w:tblStylePr>
    <w:tblStylePr w:type="firstCol">
      <w:rPr>
        <w:color w:val="FFFFFF" w:themeColor="background1"/>
        <w14:textFill>
          <w14:solidFill>
            <w14:schemeClr w14:val="bg1"/>
          </w14:solidFill>
        </w14:textFill>
      </w:rPr>
      <w:tcPr>
        <w:shd w:val="clear" w:color="auto" w:fill="000000" w:themeFill="text1" w:themeFillShade="BF"/>
      </w:tcPr>
    </w:tblStylePr>
    <w:tblStylePr w:type="lastCol">
      <w:rPr>
        <w:color w:val="FFFFFF" w:themeColor="background1"/>
        <w14:textFill>
          <w14:solidFill>
            <w14:schemeClr w14:val="bg1"/>
          </w14:solidFill>
        </w14:textFill>
      </w:rPr>
      <w:tcPr>
        <w:shd w:val="clear" w:color="auto" w:fill="000000" w:themeFill="text1" w:themeFillShade="BF"/>
      </w:tcPr>
    </w:tblStylePr>
    <w:tblStylePr w:type="band1Vert">
      <w:tcPr>
        <w:shd w:val="clear" w:color="auto" w:fill="7F7F7F" w:themeFill="text1" w:themeFillTint="7F"/>
      </w:tcPr>
    </w:tblStylePr>
    <w:tblStylePr w:type="band1Horz">
      <w:tcPr>
        <w:shd w:val="clear" w:color="auto" w:fill="7F7F7F" w:themeFill="text1" w:themeFillTint="7F"/>
      </w:tcPr>
    </w:tblStylePr>
  </w:style>
  <w:style w:type="table" w:styleId="158">
    <w:name w:val="Colorful Grid Accent 1"/>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cPr>
        <w:shd w:val="clear" w:color="auto" w:fill="B8CCE4" w:themeFill="accent1" w:themeFillTint="66"/>
      </w:tcPr>
    </w:tblStylePr>
    <w:tblStylePr w:type="lastRow">
      <w:rPr>
        <w:b/>
        <w:bCs/>
        <w:color w:val="000000" w:themeColor="text1"/>
        <w14:textFill>
          <w14:solidFill>
            <w14:schemeClr w14:val="tx1"/>
          </w14:solidFill>
        </w14:textFill>
      </w:rPr>
      <w:tcPr>
        <w:shd w:val="clear" w:color="auto" w:fill="B8CCE4" w:themeFill="accent1" w:themeFillTint="66"/>
      </w:tcPr>
    </w:tblStylePr>
    <w:tblStylePr w:type="firstCol">
      <w:rPr>
        <w:color w:val="FFFFFF" w:themeColor="background1"/>
        <w14:textFill>
          <w14:solidFill>
            <w14:schemeClr w14:val="bg1"/>
          </w14:solidFill>
        </w14:textFill>
      </w:rPr>
      <w:tcPr>
        <w:shd w:val="clear" w:color="auto" w:fill="366091" w:themeFill="accent1" w:themeFillShade="BF"/>
      </w:tcPr>
    </w:tblStylePr>
    <w:tblStylePr w:type="lastCol">
      <w:rPr>
        <w:color w:val="FFFFFF" w:themeColor="background1"/>
        <w14:textFill>
          <w14:solidFill>
            <w14:schemeClr w14:val="bg1"/>
          </w14:solidFill>
        </w14:textFill>
      </w:rPr>
      <w:tcPr>
        <w:shd w:val="clear" w:color="auto" w:fill="366091" w:themeFill="accent1" w:themeFillShade="BF"/>
      </w:tcPr>
    </w:tblStylePr>
    <w:tblStylePr w:type="band1Vert">
      <w:tcPr>
        <w:shd w:val="clear" w:color="auto" w:fill="A7C0DE" w:themeFill="accent1" w:themeFillTint="7F"/>
      </w:tcPr>
    </w:tblStylePr>
    <w:tblStylePr w:type="band1Horz">
      <w:tcPr>
        <w:shd w:val="clear" w:color="auto" w:fill="A7C0DE" w:themeFill="accent1" w:themeFillTint="7F"/>
      </w:tcPr>
    </w:tblStylePr>
  </w:style>
  <w:style w:type="table" w:styleId="159">
    <w:name w:val="Colorful Grid Accent 2"/>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cPr>
        <w:shd w:val="clear" w:color="auto" w:fill="E5B8B7" w:themeFill="accent2" w:themeFillTint="66"/>
      </w:tcPr>
    </w:tblStylePr>
    <w:tblStylePr w:type="lastRow">
      <w:rPr>
        <w:b/>
        <w:bCs/>
        <w:color w:val="000000" w:themeColor="text1"/>
        <w14:textFill>
          <w14:solidFill>
            <w14:schemeClr w14:val="tx1"/>
          </w14:solidFill>
        </w14:textFill>
      </w:rPr>
      <w:tcPr>
        <w:shd w:val="clear" w:color="auto" w:fill="E5B8B7" w:themeFill="accent2" w:themeFillTint="66"/>
      </w:tcPr>
    </w:tblStylePr>
    <w:tblStylePr w:type="firstCol">
      <w:rPr>
        <w:color w:val="FFFFFF" w:themeColor="background1"/>
        <w14:textFill>
          <w14:solidFill>
            <w14:schemeClr w14:val="bg1"/>
          </w14:solidFill>
        </w14:textFill>
      </w:rPr>
      <w:tcPr>
        <w:shd w:val="clear" w:color="auto" w:fill="943734" w:themeFill="accent2" w:themeFillShade="BF"/>
      </w:tcPr>
    </w:tblStylePr>
    <w:tblStylePr w:type="lastCol">
      <w:rPr>
        <w:color w:val="FFFFFF" w:themeColor="background1"/>
        <w14:textFill>
          <w14:solidFill>
            <w14:schemeClr w14:val="bg1"/>
          </w14:solidFill>
        </w14:textFill>
      </w:rPr>
      <w:tcPr>
        <w:shd w:val="clear" w:color="auto" w:fill="943734" w:themeFill="accent2" w:themeFillShade="BF"/>
      </w:tcPr>
    </w:tblStylePr>
    <w:tblStylePr w:type="band1Vert">
      <w:tcPr>
        <w:shd w:val="clear" w:color="auto" w:fill="DFA7A6" w:themeFill="accent2" w:themeFillTint="7F"/>
      </w:tcPr>
    </w:tblStylePr>
    <w:tblStylePr w:type="band1Horz">
      <w:tcPr>
        <w:shd w:val="clear" w:color="auto" w:fill="DFA7A6" w:themeFill="accent2" w:themeFillTint="7F"/>
      </w:tcPr>
    </w:tblStylePr>
  </w:style>
  <w:style w:type="table" w:styleId="160">
    <w:name w:val="Colorful Grid Accent 3"/>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cPr>
        <w:shd w:val="clear" w:color="auto" w:fill="D6E3BC" w:themeFill="accent3" w:themeFillTint="66"/>
      </w:tcPr>
    </w:tblStylePr>
    <w:tblStylePr w:type="lastRow">
      <w:rPr>
        <w:b/>
        <w:bCs/>
        <w:color w:val="000000" w:themeColor="text1"/>
        <w14:textFill>
          <w14:solidFill>
            <w14:schemeClr w14:val="tx1"/>
          </w14:solidFill>
        </w14:textFill>
      </w:rPr>
      <w:tcPr>
        <w:shd w:val="clear" w:color="auto" w:fill="D6E3BC" w:themeFill="accent3" w:themeFillTint="66"/>
      </w:tcPr>
    </w:tblStylePr>
    <w:tblStylePr w:type="firstCol">
      <w:rPr>
        <w:color w:val="FFFFFF" w:themeColor="background1"/>
        <w14:textFill>
          <w14:solidFill>
            <w14:schemeClr w14:val="bg1"/>
          </w14:solidFill>
        </w14:textFill>
      </w:rPr>
      <w:tcPr>
        <w:shd w:val="clear" w:color="auto" w:fill="76923C" w:themeFill="accent3" w:themeFillShade="BF"/>
      </w:tcPr>
    </w:tblStylePr>
    <w:tblStylePr w:type="lastCol">
      <w:rPr>
        <w:color w:val="FFFFFF" w:themeColor="background1"/>
        <w14:textFill>
          <w14:solidFill>
            <w14:schemeClr w14:val="bg1"/>
          </w14:solidFill>
        </w14:textFill>
      </w:rPr>
      <w:tcPr>
        <w:shd w:val="clear" w:color="auto" w:fill="76923C" w:themeFill="accent3" w:themeFillShade="BF"/>
      </w:tcPr>
    </w:tblStylePr>
    <w:tblStylePr w:type="band1Vert">
      <w:tcPr>
        <w:shd w:val="clear" w:color="auto" w:fill="CDDDAC" w:themeFill="accent3" w:themeFillTint="7F"/>
      </w:tcPr>
    </w:tblStylePr>
    <w:tblStylePr w:type="band1Horz">
      <w:tcPr>
        <w:shd w:val="clear" w:color="auto" w:fill="CDDDAC" w:themeFill="accent3" w:themeFillTint="7F"/>
      </w:tcPr>
    </w:tblStylePr>
  </w:style>
  <w:style w:type="table" w:styleId="161">
    <w:name w:val="Colorful Grid Accent 4"/>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cPr>
        <w:shd w:val="clear" w:color="auto" w:fill="CCC0D9" w:themeFill="accent4" w:themeFillTint="66"/>
      </w:tcPr>
    </w:tblStylePr>
    <w:tblStylePr w:type="lastRow">
      <w:rPr>
        <w:b/>
        <w:bCs/>
        <w:color w:val="000000" w:themeColor="text1"/>
        <w14:textFill>
          <w14:solidFill>
            <w14:schemeClr w14:val="tx1"/>
          </w14:solidFill>
        </w14:textFill>
      </w:rPr>
      <w:tcPr>
        <w:shd w:val="clear" w:color="auto" w:fill="CCC0D9" w:themeFill="accent4" w:themeFillTint="66"/>
      </w:tcPr>
    </w:tblStylePr>
    <w:tblStylePr w:type="firstCol">
      <w:rPr>
        <w:color w:val="FFFFFF" w:themeColor="background1"/>
        <w14:textFill>
          <w14:solidFill>
            <w14:schemeClr w14:val="bg1"/>
          </w14:solidFill>
        </w14:textFill>
      </w:rPr>
      <w:tcPr>
        <w:shd w:val="clear" w:color="auto" w:fill="5F497A" w:themeFill="accent4" w:themeFillShade="BF"/>
      </w:tcPr>
    </w:tblStylePr>
    <w:tblStylePr w:type="lastCol">
      <w:rPr>
        <w:color w:val="FFFFFF" w:themeColor="background1"/>
        <w14:textFill>
          <w14:solidFill>
            <w14:schemeClr w14:val="bg1"/>
          </w14:solidFill>
        </w14:textFill>
      </w:rPr>
      <w:tcPr>
        <w:shd w:val="clear" w:color="auto" w:fill="5F497A" w:themeFill="accent4" w:themeFillShade="BF"/>
      </w:tcPr>
    </w:tblStylePr>
    <w:tblStylePr w:type="band1Vert">
      <w:tcPr>
        <w:shd w:val="clear" w:color="auto" w:fill="BFB1D0" w:themeFill="accent4" w:themeFillTint="7F"/>
      </w:tcPr>
    </w:tblStylePr>
    <w:tblStylePr w:type="band1Horz">
      <w:tcPr>
        <w:shd w:val="clear" w:color="auto" w:fill="BFB1D0" w:themeFill="accent4" w:themeFillTint="7F"/>
      </w:tcPr>
    </w:tblStylePr>
  </w:style>
  <w:style w:type="table" w:styleId="162">
    <w:name w:val="Colorful Grid Accent 5"/>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cPr>
        <w:shd w:val="clear" w:color="auto" w:fill="B6DDE8" w:themeFill="accent5" w:themeFillTint="66"/>
      </w:tcPr>
    </w:tblStylePr>
    <w:tblStylePr w:type="lastRow">
      <w:rPr>
        <w:b/>
        <w:bCs/>
        <w:color w:val="000000" w:themeColor="text1"/>
        <w14:textFill>
          <w14:solidFill>
            <w14:schemeClr w14:val="tx1"/>
          </w14:solidFill>
        </w14:textFill>
      </w:rPr>
      <w:tcPr>
        <w:shd w:val="clear" w:color="auto" w:fill="B6DDE8" w:themeFill="accent5" w:themeFillTint="66"/>
      </w:tcPr>
    </w:tblStylePr>
    <w:tblStylePr w:type="firstCol">
      <w:rPr>
        <w:color w:val="FFFFFF" w:themeColor="background1"/>
        <w14:textFill>
          <w14:solidFill>
            <w14:schemeClr w14:val="bg1"/>
          </w14:solidFill>
        </w14:textFill>
      </w:rPr>
      <w:tcPr>
        <w:shd w:val="clear" w:color="auto" w:fill="31849B" w:themeFill="accent5" w:themeFillShade="BF"/>
      </w:tcPr>
    </w:tblStylePr>
    <w:tblStylePr w:type="lastCol">
      <w:rPr>
        <w:color w:val="FFFFFF" w:themeColor="background1"/>
        <w14:textFill>
          <w14:solidFill>
            <w14:schemeClr w14:val="bg1"/>
          </w14:solidFill>
        </w14:textFill>
      </w:rPr>
      <w:tcPr>
        <w:shd w:val="clear" w:color="auto" w:fill="31849B" w:themeFill="accent5" w:themeFillShade="BF"/>
      </w:tcPr>
    </w:tblStylePr>
    <w:tblStylePr w:type="band1Vert">
      <w:tcPr>
        <w:shd w:val="clear" w:color="auto" w:fill="A5D5E2" w:themeFill="accent5" w:themeFillTint="7F"/>
      </w:tcPr>
    </w:tblStylePr>
    <w:tblStylePr w:type="band1Horz">
      <w:tcPr>
        <w:shd w:val="clear" w:color="auto" w:fill="A5D5E2" w:themeFill="accent5" w:themeFillTint="7F"/>
      </w:tcPr>
    </w:tblStylePr>
  </w:style>
  <w:style w:type="table" w:styleId="163">
    <w:name w:val="Colorful Grid Accent 6"/>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cPr>
        <w:shd w:val="clear" w:color="auto" w:fill="FBD4B4" w:themeFill="accent6" w:themeFillTint="66"/>
      </w:tcPr>
    </w:tblStylePr>
    <w:tblStylePr w:type="lastRow">
      <w:rPr>
        <w:b/>
        <w:bCs/>
        <w:color w:val="000000" w:themeColor="text1"/>
        <w14:textFill>
          <w14:solidFill>
            <w14:schemeClr w14:val="tx1"/>
          </w14:solidFill>
        </w14:textFill>
      </w:rPr>
      <w:tcPr>
        <w:shd w:val="clear" w:color="auto" w:fill="FBD4B4" w:themeFill="accent6" w:themeFillTint="66"/>
      </w:tcPr>
    </w:tblStylePr>
    <w:tblStylePr w:type="firstCol">
      <w:rPr>
        <w:color w:val="FFFFFF" w:themeColor="background1"/>
        <w14:textFill>
          <w14:solidFill>
            <w14:schemeClr w14:val="bg1"/>
          </w14:solidFill>
        </w14:textFill>
      </w:rPr>
      <w:tcPr>
        <w:shd w:val="clear" w:color="auto" w:fill="E36C09" w:themeFill="accent6" w:themeFillShade="BF"/>
      </w:tcPr>
    </w:tblStylePr>
    <w:tblStylePr w:type="lastCol">
      <w:rPr>
        <w:color w:val="FFFFFF" w:themeColor="background1"/>
        <w14:textFill>
          <w14:solidFill>
            <w14:schemeClr w14:val="bg1"/>
          </w14:solidFill>
        </w14:textFill>
      </w:rPr>
      <w:tcPr>
        <w:shd w:val="clear" w:color="auto" w:fill="E36C09" w:themeFill="accent6" w:themeFillShade="BF"/>
      </w:tcPr>
    </w:tblStylePr>
    <w:tblStylePr w:type="band1Vert">
      <w:tcPr>
        <w:shd w:val="clear" w:color="auto" w:fill="FBCAA2" w:themeFill="accent6" w:themeFillTint="7F"/>
      </w:tcPr>
    </w:tblStylePr>
    <w:tblStylePr w:type="band1Horz">
      <w:tcPr>
        <w:shd w:val="clear" w:color="auto" w:fill="FBCAA2" w:themeFill="accent6" w:themeFillTint="7F"/>
      </w:tcPr>
    </w:tblStyle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numbering" Target="numbering.xml"/><Relationship Id="rId10" Type="http://schemas.openxmlformats.org/officeDocument/2006/relationships/image" Target="media/image3.png"/><Relationship Id="rId1" Type="http://schemas.openxmlformats.org/officeDocument/2006/relationships/styles" Target="styles.xml"/><Relationship Id="rId14" Type="http://schemas.openxmlformats.org/officeDocument/2006/relationships/hyperlink" Target="https://www.iab.com/guidelines/creator-economy-definitions-and-taxonomy/" TargetMode="External"/><Relationship Id="rId15" Type="http://schemas.openxmlformats.org/officeDocument/2006/relationships/hyperlink" Target="https://www.iab.com/insights/creator-economy-ecosystem-mindmap/" TargetMode="External"/><Relationship Id="rId16" Type="http://schemas.openxmlformats.org/officeDocument/2006/relationships/hyperlink" Target="https://www.iab.com/guidelines/creator-economy-as-is-measurement-landscape/" TargetMode="External"/><Relationship Id="rId17" Type="http://schemas.openxmlformats.org/officeDocument/2006/relationships/hyperlink" Target="https://iabbrasil.com.br/infografico-mapa-mental-do-ecossistema-da-creator-economy/" TargetMode="External"/><Relationship Id="rId18" Type="http://schemas.openxmlformats.org/officeDocument/2006/relationships/hyperlink" Target="https://iabbrasil.com.br/conteudo-ia-na-creator-economy-escala-autenticidade-e-impacto/" TargetMode="External"/><Relationship Id="rId19" Type="http://schemas.openxmlformats.org/officeDocument/2006/relationships/hyperlink" Target="https://iabbrasil.com.br/wp-content/uploads/2024/04/Publicidade-digital-na-Creator-Economy_-praticas-para-uma-abordagem-etica-e-transparente.pdf" TargetMode="External"/><Relationship Id="rId20" Type="http://schemas.openxmlformats.org/officeDocument/2006/relationships/hyperlink" Target="https://iabbrasil.com.br/pesquisa-publi-2024-o-impacto-da-creator-economy-entre-geracoes-do-brasil/" TargetMode="External"/><Relationship Id="rId21" Type="http://schemas.openxmlformats.org/officeDocument/2006/relationships/hyperlink" Target="https://iabbrasil.com.br/pesquisa-publi-2025-identificacao-e-autenticidade-na-creator-economy/" TargetMode="External"/><Relationship Id="rId22" Type="http://schemas.openxmlformats.org/officeDocument/2006/relationships/hyperlink" Target="https://youpix.com.br/mapa-da-creator-economy-b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29</Pages>
  <Words>7906</Words>
  <Characters>52809</Characters>
  <Lines>0</Lines>
  <Paragraphs>0</Paragraphs>
  <TotalTime>1</TotalTime>
  <ScaleCrop>false</ScaleCrop>
  <LinksUpToDate>false</LinksUpToDate>
  <CharactersWithSpaces>60200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Ana Maria Carvalheiro</dc:creator>
  <dc:description/>
  <cp:lastModifiedBy>Ana Maria Carvalheiro</cp:lastModifiedBy>
  <dcterms:modified xsi:type="dcterms:W3CDTF">2026-09-15T16:03:04Z</dcterms:modified>
  <cp:revision>1</cp:revision>
  <dc:title>Trama Digital e a economia da criação de conteúdo</dc:title>
  <dc:subject>Pesquisa de Ana Maria Carvalheiro</dc:subject>
  <cp:keywords>Trama Digital, criação de conteúdo, trabalho digital</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eyJoZGlkIjoiNjI3MjE3ZWU4OGNjZDY2Y2M5NGI1ZjJhM2JmZTI3MzIiLCJ1c2VySWQiOiIxMjM2OTU0NjEyMDQ4In0=</vt:lpwstr>
  </property>
  <property fmtid="{D5CDD505-2E9C-101B-9397-08002B2CF9AE}" pid="3" name="KSOProductBuildVer">
    <vt:lpwstr>1046-12.1.0.28485</vt:lpwstr>
  </property>
  <property fmtid="{D5CDD505-2E9C-101B-9397-08002B2CF9AE}" pid="4" name="ICV">
    <vt:lpwstr>7FE290D1A3E042299B7EDD72014EF63F_12</vt:lpwstr>
  </property>
</Properties>
</file>