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lang w:val="pt-BR"/>
        </w:rPr>
        <w:t>Educando para o Jogo</w:t>
      </w:r>
    </w:p>
    <w:p>
      <w:pPr>
        <w:pStyle w:val="Subtitle"/>
      </w:pPr>
      <w:r>
        <w:rPr>
          <w:lang w:val="pt-BR"/>
        </w:rPr>
        <w:t>Pesquisa sobre riscos das apostas digitais e proteção de direitos</w:t>
      </w:r>
    </w:p>
    <w:p>
      <w:r>
        <w:rPr>
          <w:lang w:val="pt-BR"/>
        </w:rPr>
        <w:t>Ana Maria Carvalheiro</w:t>
        <w:br/>
        <w:t>Brasília DF  |  13 de outubro de 2026</w:t>
      </w:r>
    </w:p>
    <w:p>
      <w:r>
        <w:rPr>
          <w:lang w:val="pt-BR"/>
        </w:rPr>
        <w:t>Revisão narrativa crítica e documental com proposta de investigação aplicada</w:t>
      </w:r>
    </w:p>
    <w:p>
      <w:pPr>
        <w:pStyle w:val="Heading2"/>
      </w:pPr>
      <w:r>
        <w:rPr>
          <w:lang w:val="pt-BR"/>
        </w:rPr>
        <w:t>Síntese da pesquisa</w:t>
      </w:r>
    </w:p>
    <w:p>
      <w:r>
        <w:rPr>
          <w:lang w:val="pt-BR"/>
        </w:rPr>
        <w:t xml:space="preserve">A prevenção dos danos relacionados às apostas exige educação, proteção institucional e acesso ao cuidado. Informação sobre regras e limites pode apoiar decisões, mas não demonstra, por si só, que uma plataforma seja segura nem que uma pessoa esteja protegida contra prejuízos. Esta pesquisa desenvolve a base de </w:t>
      </w:r>
      <w:r>
        <w:rPr>
          <w:b/>
          <w:lang w:val="pt-BR"/>
        </w:rPr>
        <w:t>Educando para o Jogo</w:t>
      </w:r>
      <w:r>
        <w:rPr>
          <w:lang w:val="pt-BR"/>
        </w:rPr>
        <w:t xml:space="preserve"> para examinar como produtos, publicidade, condições sociais e tratamento de dados se relacionam com esses danos.</w:t>
      </w:r>
    </w:p>
    <w:p>
      <w:r>
        <w:rPr>
          <w:lang w:val="pt-BR"/>
        </w:rPr>
        <w:t>A literatura selecionada associa as apostas a prejuízos financeiros, sofrimento psíquico e efeitos sobre familiares. Estudos experimentais mostram que características da interface podem alterar a disposição de continuar apostando. Dados brasileiros documentam exposição de adolescentes a conteúdos promocionais. As evidências justificam prevenção antes do agravamento clínico e avaliação das práticas empresariais, além do comportamento individual. [1–6]</w:t>
      </w:r>
    </w:p>
    <w:p>
      <w:r>
        <w:rPr>
          <w:lang w:val="pt-BR"/>
        </w:rPr>
      </w:r>
      <w:r>
        <w:rPr>
          <w:b/>
          <w:lang w:val="pt-BR"/>
        </w:rPr>
        <w:t>Atualização regulatória decisiva.</w:t>
      </w:r>
      <w:r>
        <w:rPr>
          <w:lang w:val="pt-BR"/>
        </w:rPr>
        <w:t xml:space="preserve"> A documentação oficial consultada registra a Medida Provisória nº 1.394, de 25 de setembro de 2026, que proibiu a exploração, a oferta, a intermediação e a publicidade de apostas de quota fixa no território nacional. O alcance abrange apostas esportivas e jogos on-line enquadrados nessa modalidade, com transição para encerramento das operações. Não corresponde a uma proibição de todo videogame ou de todas as loterias. A análise jurídica deste documento tem corte em 13 de outubro de 2026. [7–9]</w:t>
      </w:r>
    </w:p>
    <w:p>
      <w:r>
        <w:rPr>
          <w:lang w:val="pt-BR"/>
        </w:rPr>
        <w:t>O principal resultado analítico é uma matriz que vincula cada mecanismo de risco a danos observáveis, responsáveis pela resposta e indicadores verificáveis. A matriz e o protocolo de campo são propostas desta pesquisa, ainda sem validação empírica. Não foram realizadas entrevistas, testes de plataformas ou coleta de dados de participantes.</w:t>
      </w:r>
    </w:p>
    <w:p>
      <w:pPr>
        <w:pStyle w:val="Heading2"/>
      </w:pPr>
      <w:r>
        <w:rPr>
          <w:lang w:val="pt-BR"/>
        </w:rPr>
        <w:t>Como utilizar o documento</w:t>
      </w:r>
    </w:p>
    <w:p>
      <w:r>
        <w:rPr>
          <w:lang w:val="pt-BR"/>
        </w:rPr>
        <w:t>As seções 1 a 4 apresentam método, contexto e evidências. As seções 5 a 11 aprofundam riscos e controvérsias. As seções 12 a 16 oferecem instrumentos para continuidade da pesquisa e atualização educativa. Ao final estão o glossário e as referências com links.</w:t>
      </w:r>
    </w:p>
    <w:p>
      <w:r>
        <w:rPr>
          <w:lang w:val="pt-BR"/>
        </w:rPr>
        <w:br w:type="page"/>
      </w:r>
    </w:p>
    <w:p>
      <w:pPr>
        <w:pStyle w:val="Heading1"/>
      </w:pPr>
      <w:r>
        <w:rPr>
          <w:lang w:val="pt-BR"/>
        </w:rPr>
        <w:t>1 Objetivo e percurso metodológico</w:t>
      </w:r>
    </w:p>
    <w:p>
      <w:r>
        <w:rPr>
          <w:lang w:val="pt-BR"/>
        </w:rPr>
      </w:r>
      <w:r>
        <w:rPr>
          <w:b/>
          <w:lang w:val="pt-BR"/>
        </w:rPr>
        <w:t>Pergunta central.</w:t>
      </w:r>
      <w:r>
        <w:rPr>
          <w:lang w:val="pt-BR"/>
        </w:rPr>
        <w:t xml:space="preserve"> Como os mecanismos de funcionamento e divulgação das apostas digitais, combinados às condições de vida e às respostas institucionais, produzem riscos à saúde, às finanças e aos direitos, e quais medidas de prevenção podem ser avaliadas no contexto brasileiro?</w:t>
      </w:r>
    </w:p>
    <w:p>
      <w:r>
        <w:rPr>
          <w:lang w:val="pt-BR"/>
        </w:rPr>
        <w:t>O objetivo geral é desenvolver uma base de pesquisa para a continuidade de Educando para o Jogo. Os objetivos específicos são identificar mecanismos de dano, examinar debates científicos e regulatórios, delimitar o que os dados permitem afirmar e propor uma investigação aplicada que avalie proteção e compreensão pública.</w:t>
      </w:r>
    </w:p>
    <w:p>
      <w:pPr>
        <w:pStyle w:val="Heading2"/>
      </w:pPr>
      <w:r>
        <w:rPr>
          <w:lang w:val="pt-BR"/>
        </w:rPr>
        <w:t>Corpus e seleção das fontes</w:t>
      </w:r>
    </w:p>
    <w:p>
      <w:r>
        <w:rPr>
          <w:lang w:val="pt-BR"/>
        </w:rPr>
        <w:t>Foi realizada uma revisão narrativa crítica com busca dirigida na web em 13 de outubro de 2026. Foram priorizados estudos revisados por pares, páginas dos próprios pesquisadores ou repositórios universitários, atos normativos e documentos de órgãos públicos. A literatura recente foi articulada a estudos anteriores relevantes para mecanismos comportamentais. A busca concentrou-se em português e inglês e não teve restrição cronológica única.</w:t>
      </w:r>
    </w:p>
    <w:p>
      <w:r>
        <w:rPr>
          <w:lang w:val="pt-BR"/>
        </w:rPr>
        <w:t>O corpus do projeto inclui a matriz editorial de 28 de julho de 2026 e páginas de apresentação, publicidade e prevenção disponibilizadas no acervo. Esses materiais foram examinados como antecedentes educativos, não como evidência de efetividade ou como texto normativo vigente. A análise não constitui auditoria integral de todas as versões gráficas da coleção.</w:t>
      </w:r>
    </w:p>
    <w:p>
      <w:r>
        <w:rPr>
          <w:lang w:val="pt-BR"/>
        </w:rPr>
        <w:t>Entre as expressões utilizadas estão “gambling harms”, “gambling advertising”, “near-miss”, “loot boxes”, “apostas saúde”, “TIC Kids apostas”, “proteção de dados biométricos” e “MP 1394 2026”. As fontes foram organizadas em cinco grupos: saúde, comportamento e produto, economia familiar, infância e publicidade, e legislação e governança.</w:t>
      </w:r>
    </w:p>
    <w:p>
      <w:pPr>
        <w:pStyle w:val="Heading2"/>
      </w:pPr>
      <w:r>
        <w:rPr>
          <w:lang w:val="pt-BR"/>
        </w:rPr>
        <w:t>Critérios de interpretação</w:t>
      </w:r>
    </w:p>
    <w:p>
      <w:r>
        <w:rPr>
          <w:lang w:val="pt-BR"/>
        </w:rPr>
        <w:t>Para cada resultado foram considerados desenho do estudo, população, período, medida utilizada e limites de generalização. Percentuais internacionais não foram convertidos em estimativas brasileiras. Dados de transferências não foram tratados como perdas líquidas. Estudos transversais foram utilizados para associações; experimentos para efeitos delimitados às condições testadas; normas para obrigações e alcance jurídico.</w:t>
      </w:r>
    </w:p>
    <w:p>
      <w:r>
        <w:rPr>
          <w:lang w:val="pt-BR"/>
        </w:rPr>
        <w:t>A revisão é seletiva e não foi registrada como revisão sistemática. Não houve triagem em duplicata, avaliação formal de risco de viés nem metanálise própria. As buscas e fontes permitem rastrear os argumentos, mas não autorizam afirmar cobertura exaustiva da literatura. As hipóteses e recomendações estão identificadas como propostas, e não como resultados de campo.</w:t>
      </w:r>
    </w:p>
    <w:p>
      <w:pPr>
        <w:pStyle w:val="Heading2"/>
      </w:pPr>
      <w:r>
        <w:rPr>
          <w:lang w:val="pt-BR"/>
        </w:rPr>
        <w:t>Contribuição delimitada</w:t>
      </w:r>
    </w:p>
    <w:p>
      <w:r>
        <w:rPr>
          <w:lang w:val="pt-BR"/>
        </w:rPr>
        <w:t>A contribuição consiste em transformar temas educativos em perguntas verificáveis sobre exposição, desenho do produto, proteção e consequências. A originalidade pretendida está nessa aplicação ao projeto e à transição brasileira. Não se reivindica ineditismo mundial nem comprovação de que a matriz reduza danos.</w:t>
      </w:r>
    </w:p>
    <w:p>
      <w:r>
        <w:rPr>
          <w:lang w:val="pt-BR"/>
        </w:rPr>
        <w:br w:type="page"/>
      </w:r>
    </w:p>
    <w:p>
      <w:pPr>
        <w:pStyle w:val="Heading1"/>
      </w:pPr>
      <w:r>
        <w:rPr>
          <w:lang w:val="pt-BR"/>
        </w:rPr>
        <w:t>2 Continuidade e aprofundamento do projeto</w:t>
      </w:r>
    </w:p>
    <w:p>
      <w:r>
        <w:rPr>
          <w:lang w:val="pt-BR"/>
        </w:rPr>
        <w:t>Educando para o Jogo estruturou uma abordagem acessível sobre apostas de quota fixa, cadastro e biometria, limites, publicidade, privacidade, golpes, fiscalização e busca de apoio. A matriz editorial já distinguia obrigações do operador e requisitos do usuário, evitando equipará-los. Também afastava a ideia de que uma autorização ou um domínio eletrônico garantiriam conformidade com a LGPD.</w:t>
      </w:r>
    </w:p>
    <w:p>
      <w:r>
        <w:rPr>
          <w:lang w:val="pt-BR"/>
        </w:rPr>
        <w:t>A pesquisa aprofunda esse ponto: a capacidade de conhecer, projetar, distribuir e modificar um produto não está igualmente distribuída entre empresa e usuário. Quem controla a interface, os incentivos e os fluxos de dados dispõe de meios de intervenção que o indivíduo não possui. Essa assimetria orienta a análise, sem retirar a autonomia das pessoas.</w:t>
      </w:r>
    </w:p>
    <w:tbl>
      <w:tblPr>
        <w:tblW w:type="auto" w:w="0"/>
        <w:jc w:val="center"/>
        <w:tblLayout w:type="fixed"/>
        <w:tblLook w:firstColumn="1" w:firstRow="1" w:lastColumn="0" w:lastRow="0" w:noHBand="0" w:noVBand="1" w:val="04A0"/>
      </w:tblPr>
      <w:tblGrid>
        <w:gridCol w:w="2880"/>
        <w:gridCol w:w="6970"/>
      </w:tblGrid>
      <w:tr>
        <w:trPr>
          <w:tblHeader/>
          <w:cantSplit/>
        </w:trPr>
        <w:tc>
          <w:tcPr>
            <w:tcW w:type="dxa" w:w="288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Tema da base educativa</w:t>
            </w:r>
          </w:p>
        </w:tc>
        <w:tc>
          <w:tcPr>
            <w:tcW w:type="dxa" w:w="697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Pergunta de aprofundamento</w:t>
            </w:r>
          </w:p>
        </w:tc>
      </w:tr>
      <w:tr>
        <w:trPr>
          <w:cantSplit/>
        </w:trPr>
        <w:tc>
          <w:tcPr>
            <w:tcW w:type="dxa" w:w="288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Limites de tempo e dinheiro</w:t>
            </w:r>
          </w:p>
        </w:tc>
        <w:tc>
          <w:tcPr>
            <w:tcW w:type="dxa" w:w="697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Que proteções existem antes de o usuário reconhecer o dano e pedir ajuda?</w:t>
            </w:r>
          </w:p>
        </w:tc>
      </w:tr>
      <w:tr>
        <w:trPr>
          <w:cantSplit/>
        </w:trPr>
        <w:tc>
          <w:tcPr>
            <w:tcW w:type="dxa" w:w="288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Publicidade e informação</w:t>
            </w:r>
          </w:p>
        </w:tc>
        <w:tc>
          <w:tcPr>
            <w:tcW w:type="dxa" w:w="697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A exposição acumulada normaliza a aposta mesmo quando existe advertência?</w:t>
            </w:r>
          </w:p>
        </w:tc>
      </w:tr>
      <w:tr>
        <w:trPr>
          <w:cantSplit/>
        </w:trPr>
        <w:tc>
          <w:tcPr>
            <w:tcW w:type="dxa" w:w="288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Cadastro e biometria</w:t>
            </w:r>
          </w:p>
        </w:tc>
        <w:tc>
          <w:tcPr>
            <w:tcW w:type="dxa" w:w="697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A verificação protege a identidade com coleta proporcional e controle de acesso?</w:t>
            </w:r>
          </w:p>
        </w:tc>
      </w:tr>
      <w:tr>
        <w:trPr>
          <w:cantSplit/>
        </w:trPr>
        <w:tc>
          <w:tcPr>
            <w:tcW w:type="dxa" w:w="288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LGPD e segurança</w:t>
            </w:r>
          </w:p>
        </w:tc>
        <w:tc>
          <w:tcPr>
            <w:tcW w:type="dxa" w:w="697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Dados de vulnerabilidade podem ser reaproveitados para estimular consumo?</w:t>
            </w:r>
          </w:p>
        </w:tc>
      </w:tr>
      <w:tr>
        <w:trPr>
          <w:cantSplit/>
        </w:trPr>
        <w:tc>
          <w:tcPr>
            <w:tcW w:type="dxa" w:w="288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Fiscalização</w:t>
            </w:r>
          </w:p>
        </w:tc>
        <w:tc>
          <w:tcPr>
            <w:tcW w:type="dxa" w:w="697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Quais resultados mostram proteção efetiva além da quantidade de medidas adotadas?</w:t>
            </w:r>
          </w:p>
        </w:tc>
      </w:tr>
      <w:tr>
        <w:trPr>
          <w:cantSplit/>
        </w:trPr>
        <w:tc>
          <w:tcPr>
            <w:tcW w:type="dxa" w:w="288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Sinais e apoio</w:t>
            </w:r>
          </w:p>
        </w:tc>
        <w:tc>
          <w:tcPr>
            <w:tcW w:type="dxa" w:w="697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Como identificar sofrimento e orientar cuidado sem estigma ou diagnóstico improvisado?</w:t>
            </w:r>
          </w:p>
        </w:tc>
      </w:tr>
    </w:tbl>
    <w:p>
      <w:pPr>
        <w:spacing w:after="0"/>
      </w:pPr>
    </w:p>
    <w:p>
      <w:pPr>
        <w:pStyle w:val="Heading2"/>
      </w:pPr>
      <w:r>
        <w:rPr>
          <w:lang w:val="pt-BR"/>
        </w:rPr>
        <w:t>O limite da educação isolada</w:t>
      </w:r>
    </w:p>
    <w:p>
      <w:r>
        <w:rPr>
          <w:lang w:val="pt-BR"/>
        </w:rPr>
        <w:t>A Comissão de The Lancet Public Health propõe que o dano seja compreendido além do transtorno individual e que políticas de prevenção preservem independência em relação a interesses comerciais. Esse enquadramento sustenta a passagem de uma cartilha centrada em informação para uma agenda sobre condições de exposição e capacidade institucional de proteção. [2]</w:t>
      </w:r>
    </w:p>
    <w:p>
      <w:r>
        <w:rPr>
          <w:lang w:val="pt-BR"/>
        </w:rPr>
        <w:t>Isso não torna inútil o material educativo. Altera o que se espera dele: aumentar compreensão, reconhecimento de risco e acesso a direitos são resultados plausíveis a testar; redução de endividamento ou de transtorno exige mensuração própria e acompanhamento. Quantidade de exemplares, visualizações e satisfação com uma oficina não substituem esses desfechos.</w:t>
      </w:r>
    </w:p>
    <w:p>
      <w:pPr>
        <w:pStyle w:val="Heading2"/>
      </w:pPr>
      <w:r>
        <w:rPr>
          <w:lang w:val="pt-BR"/>
        </w:rPr>
        <w:t>Separar formação e promoção</w:t>
      </w:r>
    </w:p>
    <w:p>
      <w:r>
        <w:rPr>
          <w:lang w:val="pt-BR"/>
        </w:rPr>
        <w:t>Propõe-se que atividades futuras utilizem situações fictícias, sem links de operadores, demonstração de apostas reais, rankings ou simulações com prêmios. O material pode explicar probabilidades e práticas comerciais sem ensinar a apostar. Na apresentação pública da pesquisa, vínculo com o projeto não deve ser confundido com aprovação institucional de parceiros ou com endosso comercial.</w:t>
      </w:r>
    </w:p>
    <w:p>
      <w:r>
        <w:rPr>
          <w:lang w:val="pt-BR"/>
        </w:rPr>
        <w:br w:type="page"/>
      </w:r>
    </w:p>
    <w:p>
      <w:pPr>
        <w:pStyle w:val="Heading1"/>
      </w:pPr>
      <w:r>
        <w:rPr>
          <w:lang w:val="pt-BR"/>
        </w:rPr>
        <w:t>3 Marco brasileiro e transição regulatória</w:t>
      </w:r>
    </w:p>
    <w:p>
      <w:r>
        <w:rPr>
          <w:lang w:val="pt-BR"/>
        </w:rPr>
        <w:t>A Lei nº 14.790/2023 organizou o regime federal anterior de apostas de quota fixa. A cartilha foi desenvolvida nesse contexto. O texto consolidado consultado já registra revogações introduzidas pela MP nº 1.394/2026. Consequentemente, instruções antigas para escolher uma plataforma autorizada não podem ser reapresentadas como orientação atual sem revisão. [7,10]</w:t>
      </w:r>
    </w:p>
    <w:tbl>
      <w:tblPr>
        <w:tblW w:type="auto" w:w="0"/>
        <w:jc w:val="center"/>
        <w:tblLayout w:type="fixed"/>
        <w:tblLook w:firstColumn="1" w:firstRow="1" w:lastColumn="0" w:lastRow="0" w:noHBand="0" w:noVBand="1" w:val="04A0"/>
      </w:tblPr>
      <w:tblGrid>
        <w:gridCol w:w="2333"/>
        <w:gridCol w:w="7517"/>
      </w:tblGrid>
      <w:tr>
        <w:trPr>
          <w:tblHeader/>
          <w:cantSplit/>
        </w:trPr>
        <w:tc>
          <w:tcPr>
            <w:tcW w:type="dxa" w:w="233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Marco</w:t>
            </w:r>
          </w:p>
        </w:tc>
        <w:tc>
          <w:tcPr>
            <w:tcW w:type="dxa" w:w="75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Conteúdo relevante para a pesquisa</w:t>
            </w:r>
          </w:p>
        </w:tc>
      </w:tr>
      <w:tr>
        <w:trPr>
          <w:cantSplit/>
        </w:trPr>
        <w:tc>
          <w:tcPr>
            <w:tcW w:type="dxa" w:w="233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2023 e 2024</w:t>
            </w:r>
          </w:p>
        </w:tc>
        <w:tc>
          <w:tcPr>
            <w:tcW w:type="dxa" w:w="75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Regime de autorização e regulamentação que fundamentou a fase inicial da cartilha. Contexto histórico, sujeito às alterações posteriores.</w:t>
            </w:r>
          </w:p>
        </w:tc>
      </w:tr>
      <w:tr>
        <w:trPr>
          <w:cantSplit/>
        </w:trPr>
        <w:tc>
          <w:tcPr>
            <w:tcW w:type="dxa" w:w="233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25 de setembro de 2026</w:t>
            </w:r>
          </w:p>
        </w:tc>
        <w:tc>
          <w:tcPr>
            <w:tcW w:type="dxa" w:w="75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MP nº 1.394 proíbe as atividades de apostas de quota fixa descritas no seu âmbito de aplicação e disciplina a transição.</w:t>
            </w:r>
          </w:p>
        </w:tc>
      </w:tr>
      <w:tr>
        <w:trPr>
          <w:cantSplit/>
        </w:trPr>
        <w:tc>
          <w:tcPr>
            <w:tcW w:type="dxa" w:w="233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5 e 6 de outubro de 2026</w:t>
            </w:r>
          </w:p>
        </w:tc>
        <w:tc>
          <w:tcPr>
            <w:tcW w:type="dxa" w:w="75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Cronograma oficial: término da retirada voluntária em 5/10 e indisponibilidade de sites e aplicativos a partir de 6/10.</w:t>
            </w:r>
          </w:p>
        </w:tc>
      </w:tr>
      <w:tr>
        <w:trPr>
          <w:cantSplit/>
        </w:trPr>
        <w:tc>
          <w:tcPr>
            <w:tcW w:type="dxa" w:w="233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9 a 14 de outubro de 2026</w:t>
            </w:r>
          </w:p>
        </w:tc>
        <w:tc>
          <w:tcPr>
            <w:tcW w:type="dxa" w:w="75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Janela divulgada pela Fazenda para devolução bancária dos valores remanescentes.</w:t>
            </w:r>
          </w:p>
        </w:tc>
      </w:tr>
      <w:tr>
        <w:trPr>
          <w:cantSplit/>
        </w:trPr>
        <w:tc>
          <w:tcPr>
            <w:tcW w:type="dxa" w:w="233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Outubro de 2026</w:t>
            </w:r>
          </w:p>
        </w:tc>
        <w:tc>
          <w:tcPr>
            <w:tcW w:type="dxa" w:w="751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Obrigações de informação e regularização permanecem no encerramento; há questionamento da MP no STF.</w:t>
            </w:r>
          </w:p>
        </w:tc>
      </w:tr>
    </w:tbl>
    <w:p>
      <w:pPr>
        <w:spacing w:after="0"/>
      </w:pPr>
    </w:p>
    <w:p>
      <w:r>
        <w:rPr>
          <w:lang w:val="pt-BR"/>
        </w:rPr>
        <w:t>Fontes do quadro: texto da MP, Lei nº 14.790 consolidada, comunicados da Fazenda de 5/10 e notícia institucional do STF de 28/9. Os prazos retratam a divulgação oficial consultada, não a comprovação da conclusão de cada operação. [7–11]</w:t>
      </w:r>
    </w:p>
    <w:p>
      <w:pPr>
        <w:pStyle w:val="Heading2"/>
      </w:pPr>
      <w:r>
        <w:rPr>
          <w:lang w:val="pt-BR"/>
        </w:rPr>
        <w:t>O que muda no debate</w:t>
      </w:r>
    </w:p>
    <w:p>
      <w:r>
        <w:rPr>
          <w:lang w:val="pt-BR"/>
        </w:rPr>
        <w:t>Passa a ser necessário investigar a proteção durante a transição: restituição de saldos, preservação de provas, destino de bases cadastrais, publicidade residual e deslocamento para ofertas clandestinas. A existência de uma proibição não demonstra desaparecimento da demanda nem aumento automático do mercado ilegal. Ambas as consequências precisam de dados comparáveis antes e depois.</w:t>
      </w:r>
    </w:p>
    <w:p>
      <w:r>
        <w:rPr>
          <w:lang w:val="pt-BR"/>
        </w:rPr>
        <w:t>A notícia de ajuizamento de ações no STF comprova a existência de controvérsia, mas não equivale a uma decisão que suspenda a norma. Medidas provisórias têm tramitação e efeitos temporalmente condicionados. Acompanhamento legislativo e judicial deve integrar as próximas atualizações, sem tratar a solução anunciada em setembro como arranjo permanente já estabilizado. [11]</w:t>
      </w:r>
    </w:p>
    <w:p>
      <w:pPr>
        <w:pStyle w:val="Heading2"/>
      </w:pPr>
      <w:r>
        <w:rPr>
          <w:lang w:val="pt-BR"/>
        </w:rPr>
        <w:t>Proteção de dados e infância permanecem relevantes</w:t>
      </w:r>
    </w:p>
    <w:p>
      <w:r>
        <w:rPr>
          <w:lang w:val="pt-BR"/>
        </w:rPr>
        <w:t>A LGPD e o Estatuto Digital da Criança e do Adolescente integram a análise de dados e ambientes digitais. O ECA Digital veda loot boxes no âmbito definido pelo art. 20; o Decreto nº 12.880/2026 detalha proteção e verificação de idade. Essa matéria não deve ser confundida com a classificação de todo jogo eletrônico como aposta de quota fixa. [12–14]</w:t>
      </w:r>
    </w:p>
    <w:p>
      <w:r>
        <w:rPr>
          <w:lang w:val="pt-BR"/>
        </w:rPr>
      </w:r>
      <w:r>
        <w:rPr>
          <w:b/>
          <w:lang w:val="pt-BR"/>
        </w:rPr>
        <w:t>Implicação editorial.</w:t>
      </w:r>
      <w:r>
        <w:rPr>
          <w:lang w:val="pt-BR"/>
        </w:rPr>
        <w:t xml:space="preserve"> Recomenda-se uma nota de atualização datada para a coleção e revisão dos trechos operacionais. A presente pesquisa propõe essa atualização; não altera o arquivo aprovado da cartilha.</w:t>
      </w:r>
    </w:p>
    <w:p>
      <w:r>
        <w:rPr>
          <w:lang w:val="pt-BR"/>
        </w:rPr>
        <w:br w:type="page"/>
      </w:r>
    </w:p>
    <w:p>
      <w:pPr>
        <w:pStyle w:val="Heading1"/>
      </w:pPr>
      <w:r>
        <w:rPr>
          <w:lang w:val="pt-BR"/>
        </w:rPr>
        <w:t>4 O que os dados permitem afirmar</w:t>
      </w:r>
    </w:p>
    <w:tbl>
      <w:tblPr>
        <w:tblW w:type="auto" w:w="0"/>
        <w:jc w:val="center"/>
        <w:tblLayout w:type="fixed"/>
        <w:tblLook w:firstColumn="1" w:firstRow="1" w:lastColumn="0" w:lastRow="0" w:noHBand="0" w:noVBand="1" w:val="04A0"/>
      </w:tblPr>
      <w:tblGrid>
        <w:gridCol w:w="2088"/>
        <w:gridCol w:w="3816"/>
        <w:gridCol w:w="3946"/>
      </w:tblGrid>
      <w:tr>
        <w:trPr>
          <w:tblHeader/>
          <w:cantSplit/>
        </w:trPr>
        <w:tc>
          <w:tcPr>
            <w:tcW w:type="dxa" w:w="20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Evidência</w:t>
            </w:r>
          </w:p>
        </w:tc>
        <w:tc>
          <w:tcPr>
            <w:tcW w:type="dxa" w:w="381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Resultado documentado</w:t>
            </w:r>
          </w:p>
        </w:tc>
        <w:tc>
          <w:tcPr>
            <w:tcW w:type="dxa" w:w="39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Limite de leitura</w:t>
            </w:r>
          </w:p>
        </w:tc>
      </w:tr>
      <w:tr>
        <w:trPr>
          <w:cantSplit/>
        </w:trPr>
        <w:tc>
          <w:tcPr>
            <w:tcW w:type="dxa" w:w="20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Tran et al 2024 [3]</w:t>
            </w:r>
          </w:p>
        </w:tc>
        <w:tc>
          <w:tcPr>
            <w:tcW w:type="dxa" w:w="381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380 amostras representativas identificadas em 68 países e territórios; 366 incluídas na metanálise.</w:t>
            </w:r>
          </w:p>
        </w:tc>
        <w:tc>
          <w:tcPr>
            <w:tcW w:type="dxa" w:w="39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Predomínio de países de alta renda; não é um inquérito nacional brasileiro.</w:t>
            </w:r>
          </w:p>
        </w:tc>
      </w:tr>
      <w:tr>
        <w:trPr>
          <w:cantSplit/>
        </w:trPr>
        <w:tc>
          <w:tcPr>
            <w:tcW w:type="dxa" w:w="20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Adultos na metanálise [3]</w:t>
            </w:r>
          </w:p>
        </w:tc>
        <w:tc>
          <w:tcPr>
            <w:tcW w:type="dxa" w:w="381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1,41% com jogo problemático; IC95% de 1,06% a 1,84%.</w:t>
            </w:r>
          </w:p>
        </w:tc>
        <w:tc>
          <w:tcPr>
            <w:tcW w:type="dxa" w:w="39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Definições e instrumentos variam. Não equivale a diagnóstico clínico de cada indivíduo.</w:t>
            </w:r>
          </w:p>
        </w:tc>
      </w:tr>
      <w:tr>
        <w:trPr>
          <w:cantSplit/>
        </w:trPr>
        <w:tc>
          <w:tcPr>
            <w:tcW w:type="dxa" w:w="20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Cassino e slots on-line [3]</w:t>
            </w:r>
          </w:p>
        </w:tc>
        <w:tc>
          <w:tcPr>
            <w:tcW w:type="dxa" w:w="381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15,8% com jogo problemático entre adultos que praticavam essas modalidades; IC95% de 10,7% a 21,6%.</w:t>
            </w:r>
          </w:p>
        </w:tc>
        <w:tc>
          <w:tcPr>
            <w:tcW w:type="dxa" w:w="39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O denominador é o grupo praticante; não todos os adultos nem todos os internautas.</w:t>
            </w:r>
          </w:p>
        </w:tc>
      </w:tr>
      <w:tr>
        <w:trPr>
          <w:cantSplit/>
        </w:trPr>
        <w:tc>
          <w:tcPr>
            <w:tcW w:type="dxa" w:w="20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TIC Kids Online 2025 [6]</w:t>
            </w:r>
          </w:p>
        </w:tc>
        <w:tc>
          <w:tcPr>
            <w:tcW w:type="dxa" w:w="381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53% dos usuários de Internet de 11 a 17 anos relataram contato com vídeos de divulgação de apostas; 63% entre 15 e 17 anos.</w:t>
            </w:r>
          </w:p>
        </w:tc>
        <w:tc>
          <w:tcPr>
            <w:tcW w:type="dxa" w:w="39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Exposição relatada não é participação em aposta, dependência ou efeito causal da propaganda.</w:t>
            </w:r>
          </w:p>
        </w:tc>
      </w:tr>
      <w:tr>
        <w:trPr>
          <w:cantSplit/>
        </w:trPr>
        <w:tc>
          <w:tcPr>
            <w:tcW w:type="dxa" w:w="20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Banco Central 2024 [15]</w:t>
            </w:r>
          </w:p>
        </w:tc>
        <w:tc>
          <w:tcPr>
            <w:tcW w:type="dxa" w:w="381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R$ 20,8 bilhões de transferências recebidas em agosto por 56 empresas identificadas no estudo.</w:t>
            </w:r>
          </w:p>
        </w:tc>
        <w:tc>
          <w:tcPr>
            <w:tcW w:type="dxa" w:w="39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Transferências brutas não equivalem a prejuízo líquido das famílias ou receita líquida das empresas.</w:t>
            </w:r>
          </w:p>
        </w:tc>
      </w:tr>
      <w:tr>
        <w:trPr>
          <w:cantSplit/>
        </w:trPr>
        <w:tc>
          <w:tcPr>
            <w:tcW w:type="dxa" w:w="20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Muggleton et al 2021 [16]</w:t>
            </w:r>
          </w:p>
        </w:tc>
        <w:tc>
          <w:tcPr>
            <w:tcW w:type="dxa" w:w="381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Dados bancários do Reino Unido, com até 6,5 milhões de pessoas, relacionaram apostas e diferentes desfechos adversos.</w:t>
            </w:r>
          </w:p>
        </w:tc>
        <w:tc>
          <w:tcPr>
            <w:tcW w:type="dxa" w:w="394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Estudo observacional; cobertura bancária e contexto não representam automaticamente o Brasil.</w:t>
            </w:r>
          </w:p>
        </w:tc>
      </w:tr>
    </w:tbl>
    <w:p>
      <w:pPr>
        <w:spacing w:after="0"/>
      </w:pPr>
    </w:p>
    <w:p>
      <w:pPr>
        <w:pStyle w:val="Heading2"/>
      </w:pPr>
      <w:r>
        <w:rPr>
          <w:lang w:val="pt-BR"/>
        </w:rPr>
        <w:t>Evitar comparações enganosas</w:t>
      </w:r>
    </w:p>
    <w:p>
      <w:r>
        <w:rPr>
          <w:lang w:val="pt-BR"/>
        </w:rPr>
        <w:t>Um percentual elevado entre usuários de um produto pode refletir características do produto, seleção de pessoas já vulneráveis ou ambos. A diferença entre grupos não identifica sozinha a causa. Da mesma forma, registros de atendimento dependem do acesso ao serviço, reconhecimento do problema e práticas de notificação; não medem diretamente prevalência.</w:t>
      </w:r>
    </w:p>
    <w:p>
      <w:r>
        <w:rPr>
          <w:lang w:val="pt-BR"/>
        </w:rPr>
        <w:t>O Banco Central descreve fluxos associados a empresas identificadas por critérios operacionais. Inferir perdas definitivas a partir desses ingressos ignoraria saques, prêmios e reutilização de recursos. A relação com renda deve considerar orçamento disponível, obrigações essenciais e composição familiar; um mesmo valor nominal pode ter consequências muito diferentes. [15]</w:t>
      </w:r>
    </w:p>
    <w:p>
      <w:r>
        <w:rPr>
          <w:lang w:val="pt-BR"/>
        </w:rPr>
        <w:t>Para a pesquisa aplicada, recomenda-se publicar sempre população, período, denominador, unidade e fonte junto de cada número. Quando não houver estimativa brasileira adequada ao subgrupo analisado, registrar a lacuna é mais informativo do que importar percentuais internacionais.</w:t>
      </w:r>
    </w:p>
    <w:p>
      <w:r>
        <w:rPr>
          <w:lang w:val="pt-BR"/>
        </w:rPr>
        <w:br w:type="page"/>
      </w:r>
    </w:p>
    <w:p>
      <w:pPr>
        <w:pStyle w:val="Heading1"/>
      </w:pPr>
      <w:r>
        <w:rPr>
          <w:lang w:val="pt-BR"/>
        </w:rPr>
        <w:t>5 Desenho dos produtos e mecanismos de risco</w:t>
      </w:r>
    </w:p>
    <w:p>
      <w:pPr>
        <w:pStyle w:val="Heading2"/>
      </w:pPr>
      <w:r>
        <w:rPr>
          <w:lang w:val="pt-BR"/>
        </w:rPr>
        <w:t>Velocidade e continuidade</w:t>
      </w:r>
    </w:p>
    <w:p>
      <w:r>
        <w:rPr>
          <w:lang w:val="pt-BR"/>
        </w:rPr>
        <w:t>Produtos digitais permitem sequências de interação e disponibilidade que diferem de atividades episódicas. A revisão de Fisher e colaboradores discute riscos associados a produtos rápidos e contínuos, além das dificuldades regulatórias da oferta on-line. O mecanismo relevante para esta pesquisa é a relação entre frequência de decisões, exposição financeira e oportunidade de interrupção. [17]</w:t>
      </w:r>
    </w:p>
    <w:p>
      <w:r>
        <w:rPr>
          <w:lang w:val="pt-BR"/>
        </w:rPr>
        <w:t>A velocidade deve ser investigada como propriedade observável: intervalo entre eventos, duração de sessão e existência de pausas. Ela não autoriza classificar toda interface como manipuladora. É necessário registrar qual recurso foi encontrado e qual efeito se pretende medir, em vez de atribuir intenção à empresa a partir de uma impressão visual.</w:t>
      </w:r>
    </w:p>
    <w:p>
      <w:pPr>
        <w:pStyle w:val="Heading2"/>
      </w:pPr>
      <w:r>
        <w:rPr>
          <w:lang w:val="pt-BR"/>
        </w:rPr>
        <w:t>Quase acerto e interpretação da perda</w:t>
      </w:r>
    </w:p>
    <w:p>
      <w:r>
        <w:rPr>
          <w:lang w:val="pt-BR"/>
        </w:rPr>
        <w:t>Palmer, Ferrari e Clark realizaram experimentos pré-registrados com simulação de máquina de três rolos. Comparados a perdas completas, resultados de quase acerto aumentaram a motivação relatada; em experimentos separados, foram seguidos por maior velocidade de nova jogada e maior valor apostado. Os tamanhos amostrais variaram de 148 a 172 por experimento. [5]</w:t>
      </w:r>
    </w:p>
    <w:p>
      <w:r>
        <w:rPr>
          <w:lang w:val="pt-BR"/>
        </w:rPr>
        <w:t>Esse resultado mostra que perdas monetariamente equivalentes podem produzir respostas diferentes conforme a apresentação. Não demonstra que cada participante desenvolverá um transtorno nem quantifica o efeito em qualquer aplicativo brasileiro. Para o projeto, sustenta uma pergunta concreta: a forma de mostrar o resultado dificulta reconhecer que houve perda?</w:t>
      </w:r>
    </w:p>
    <w:p>
      <w:pPr>
        <w:pStyle w:val="Heading2"/>
      </w:pPr>
      <w:r>
        <w:rPr>
          <w:lang w:val="pt-BR"/>
        </w:rPr>
        <w:t>Probabilidades e expectativa de retorno</w:t>
      </w:r>
    </w:p>
    <w:p>
      <w:r>
        <w:rPr>
          <w:lang w:val="pt-BR"/>
        </w:rPr>
        <w:t>A matemática pode ser ensinada com um exemplo hipotético: se um evento tem probabilidade de 50% e paga R$ 1,80 no total por uma entrada de R$ 1,00, o retorno esperado é 0,50 × R$ 1,80 = R$ 0,90. A diferença esperada é de R$ 0,10 por entrada. Isso é uma média teórica sob essas condições, não a previsão de cada resultado nem descrição de uma operadora real.</w:t>
      </w:r>
    </w:p>
    <w:p>
      <w:r>
        <w:rPr>
          <w:lang w:val="pt-BR"/>
        </w:rPr>
        <w:t>Uma sequência de perdas não cria, por si, uma obrigação matemática de ganho futuro em eventos independentes. Conhecer esse princípio pode corrigir uma interpretação, mas não elimina estímulos emocionais ou pressões financeiras. Por isso, acerto em uma questão de probabilidade e redução de comportamento arriscado devem ser avaliados separadamente.</w:t>
      </w:r>
    </w:p>
    <w:p>
      <w:pPr>
        <w:pStyle w:val="Heading2"/>
      </w:pPr>
      <w:r>
        <w:rPr>
          <w:lang w:val="pt-BR"/>
        </w:rPr>
        <w:t>Fricção e facilidade de saída</w:t>
      </w:r>
    </w:p>
    <w:p>
      <w:r>
        <w:rPr>
          <w:lang w:val="pt-BR"/>
        </w:rPr>
        <w:t>A auditoria proposta examina se interromper interações, retirar consentimentos ou localizar atendimento exige mais esforço do que iniciar o uso. Durante o encerramento, a prioridade passa a incluir consulta de saldo e acesso a comprovantes. Número de telas, clareza de linguagem e resposta a pedidos são indicadores possíveis; não são medidas clínicas nem comprovam, isoladamente, dano.</w:t>
      </w:r>
    </w:p>
    <w:p>
      <w:r>
        <w:rPr>
          <w:lang w:val="pt-BR"/>
        </w:rPr>
        <w:br w:type="page"/>
      </w:r>
    </w:p>
    <w:p>
      <w:pPr>
        <w:pStyle w:val="Heading1"/>
      </w:pPr>
      <w:r>
        <w:rPr>
          <w:lang w:val="pt-BR"/>
        </w:rPr>
        <w:t>6 Saúde mental e efeitos sobre a vida cotidiana</w:t>
      </w:r>
    </w:p>
    <w:p>
      <w:r>
        <w:rPr>
          <w:lang w:val="pt-BR"/>
        </w:rPr>
        <w:t>A OMS descreve danos que abrangem tensão financeira, ruptura de relações, violência familiar, sofrimento mental e suicídio. O dano não se restringe a quem recebe um diagnóstico e pode alcançar pessoas que não apostam. Essa amplitude exige incluir familiares e redes de apoio no objeto da pesquisa. Associação epidemiológica não significa que uma aposta isolada determine um desfecho individual. [1]</w:t>
      </w:r>
    </w:p>
    <w:p>
      <w:pPr>
        <w:pStyle w:val="Heading2"/>
      </w:pPr>
      <w:r>
        <w:rPr>
          <w:lang w:val="pt-BR"/>
        </w:rPr>
        <w:t>Sinais e avaliação</w:t>
      </w:r>
    </w:p>
    <w:p>
      <w:r>
        <w:rPr>
          <w:lang w:val="pt-BR"/>
        </w:rPr>
        <w:t>Perda de controle, prioridade crescente atribuída à atividade e persistência apesar de consequências são dimensões relevantes para avaliação. Na educação, a finalidade é reconhecer necessidade de apoio, sem rotular uma pessoa como “viciada” a partir de frequência, idade ou gasto isolado. Sofrimento, funcionamento cotidiano e contexto precisam ser avaliados por profissionais. [1,18]</w:t>
      </w:r>
    </w:p>
    <w:p>
      <w:r>
        <w:rPr>
          <w:lang w:val="pt-BR"/>
        </w:rPr>
        <w:t>Para observar impacto cotidiano, o protocolo deve perguntar sobre sono, atenção, presença no trabalho ou estudo, conflitos, despesas essenciais e tentativas de interromper a atividade. As respostas descrevem experiências; não autorizam diagnóstico automatizado. Também importa saber se o problema antecedeu, acompanhou ou se agravou depois da intensificação das apostas.</w:t>
      </w:r>
    </w:p>
    <w:p>
      <w:pPr>
        <w:pStyle w:val="Heading2"/>
      </w:pPr>
      <w:r>
        <w:rPr>
          <w:lang w:val="pt-BR"/>
        </w:rPr>
        <w:t>Cuidado integrado</w:t>
      </w:r>
    </w:p>
    <w:p>
      <w:r>
        <w:rPr>
          <w:lang w:val="pt-BR"/>
        </w:rPr>
        <w:t>O Guia de Cuidado do Ministério da Saúde orienta acolhimento e acompanhamento pela Rede de Atenção Psicossocial, considerando fatores sociais, vínculos e necessidades das famílias. A Atenção Primária tem papel de entrada e continuidade, articulada com outros serviços conforme a situação. Essa orientação favorece uma abordagem que não reduz a pessoa a sua dívida ou ao comportamento de apostar. [18]</w:t>
      </w:r>
    </w:p>
    <w:p>
      <w:r>
        <w:rPr>
          <w:lang w:val="pt-BR"/>
        </w:rPr>
        <w:t>A comunicação oficial de outubro de 2026 indica atendimento em UBS e CAPS e oferta pelo Meu SUS Digital. A funcionalidade de saúde mental para quem aposta permite solicitar teleatendimento sem obrigação de realizar antes o autoteste. A ferramenta de rastreio apoia reflexão e encaminhamento, não substitui avaliação clínica. [19,20]</w:t>
      </w:r>
    </w:p>
    <w:p>
      <w:pPr>
        <w:pStyle w:val="Heading2"/>
      </w:pPr>
      <w:r>
        <w:rPr>
          <w:lang w:val="pt-BR"/>
        </w:rPr>
        <w:t>Como comunicar sem produzir estigma</w:t>
      </w:r>
    </w:p>
    <w:p>
      <w:r>
        <w:rPr>
          <w:lang w:val="pt-BR"/>
        </w:rPr>
        <w:t>Propõe-se que oficinas expliquem sinais de sofrimento com exemplos cotidianos e reconheçam a possibilidade de pedir ajuda antes de uma crise. Mensagens de vergonha, ameaça ou julgamento podem ser inadequadas ao objetivo de acolhimento. O roteiro deve oferecer atendimento de forma reservada e evitar relatos pessoais compulsórios em grupo.</w:t>
      </w:r>
    </w:p>
    <w:p>
      <w:r>
        <w:rPr>
          <w:lang w:val="pt-BR"/>
        </w:rPr>
        <w:t>Se uma atividade educativa identificar risco imediato à vida ou crise grave, a orientação é interromper a coleta e acionar a rede de urgência. Uma oficina não é espaço para manejar clinicamente a crise. O plano de campo deve definir previamente contatos e encaminhamentos, com profissional responsável e informação compreensível aos participantes. [18]</w:t>
      </w:r>
    </w:p>
    <w:p>
      <w:pPr>
        <w:pStyle w:val="Heading2"/>
      </w:pPr>
      <w:r>
        <w:rPr>
          <w:lang w:val="pt-BR"/>
        </w:rPr>
        <w:t>Pergunta para a próxima etapa</w:t>
      </w:r>
    </w:p>
    <w:p>
      <w:r>
        <w:rPr>
          <w:lang w:val="pt-BR"/>
        </w:rPr>
        <w:t>A informação recebida ajuda a reconhecer sinais e buscar cuidado ou gera apenas concordância com frases preventivas? O estudo deve distinguir intenção de procurar apoio, tentativa efetiva, acesso conseguido e continuidade do atendimento. Cada etapa pode falhar por razões diferentes.</w:t>
      </w:r>
    </w:p>
    <w:p>
      <w:r>
        <w:rPr>
          <w:lang w:val="pt-BR"/>
        </w:rPr>
        <w:br w:type="page"/>
      </w:r>
    </w:p>
    <w:p>
      <w:pPr>
        <w:pStyle w:val="Heading1"/>
      </w:pPr>
      <w:r>
        <w:rPr>
          <w:lang w:val="pt-BR"/>
        </w:rPr>
        <w:t>7 Finanças familiares e desigualdades</w:t>
      </w:r>
    </w:p>
    <w:p>
      <w:r>
        <w:rPr>
          <w:lang w:val="pt-BR"/>
        </w:rPr>
        <w:t>A investigação econômica deve analisar o que deixa de ser financiado quando recursos são destinados às apostas, além dos valores movimentados. Prejuízos podem aparecer como atraso de contas, uso de crédito, redução de poupança, dependência de familiares e conflitos. Muggleton e colaboradores encontraram associações entre maior participação das apostas nas despesas e resultados financeiros, sociais e de saúde adversos em dados bancários britânicos. O desenho observacional limita inferências causais e a transferência ao Brasil. [16]</w:t>
      </w:r>
    </w:p>
    <w:p>
      <w:pPr>
        <w:pStyle w:val="Heading2"/>
      </w:pPr>
      <w:r>
        <w:rPr>
          <w:lang w:val="pt-BR"/>
        </w:rPr>
        <w:t>Uma perda não tem o mesmo significado para todos</w:t>
      </w:r>
    </w:p>
    <w:p>
      <w:r>
        <w:rPr>
          <w:lang w:val="pt-BR"/>
        </w:rPr>
        <w:t>Como hipótese analítica, renda disponível, estabilidade de trabalho, acesso a crédito e responsabilidades de cuidado podem modificar a gravidade de um prejuízo. R$ 100 não têm o mesmo impacto em orçamentos distintos. O protocolo deve medir consequências sobre necessidades essenciais e evitar um único limite monetário usado como rótulo universal de segurança.</w:t>
      </w:r>
    </w:p>
    <w:p>
      <w:r>
        <w:rPr>
          <w:lang w:val="pt-BR"/>
        </w:rPr>
        <w:t>A condição de pobreza ou recebimento de benefício não autoriza presumir dependência, fraude ou incapacidade decisória. Dados agregados não permitem julgar uma família específica. Também seria incorreto supor que toda transferência feita por uma pessoa beneficiária veio exclusivamente do benefício social, sem rastreamento adequado da origem dos recursos.</w:t>
      </w:r>
    </w:p>
    <w:p>
      <w:pPr>
        <w:pStyle w:val="Heading2"/>
      </w:pPr>
      <w:r>
        <w:rPr>
          <w:lang w:val="pt-BR"/>
        </w:rPr>
        <w:t>Raça gênero e território como perguntas de pesquisa</w:t>
      </w:r>
    </w:p>
    <w:p>
      <w:r>
        <w:rPr>
          <w:lang w:val="pt-BR"/>
        </w:rPr>
        <w:t>Propõe-se examinar diferenças de exposição, dano e acesso a apoio por renda, gênero, raça ou cor e território. O objetivo é identificar barreiras e desigualdades, sem pressupor características psicológicas ou comportamentos inerentes a grupos raciais. Neste relatório não há estimativa própria de desigualdade racial nas apostas; esse é um eixo de investigação futura.</w:t>
      </w:r>
    </w:p>
    <w:p>
      <w:r>
        <w:rPr>
          <w:lang w:val="pt-BR"/>
        </w:rPr>
        <w:t>Um desenho adequado precisa combinar pergunta voluntária, finalidade explícita, proteção dos dados e amostra suficiente. Cruzamentos com poucos participantes podem identificar pessoas e produzir percentuais instáveis. Não publicar células pequenas e não interpretar diferenças casuais como padrões estruturais são compromissos de análise a definir antes da coleta.</w:t>
      </w:r>
    </w:p>
    <w:p>
      <w:pPr>
        <w:pStyle w:val="Heading2"/>
      </w:pPr>
      <w:r>
        <w:rPr>
          <w:lang w:val="pt-BR"/>
        </w:rPr>
        <w:t>Apoio financeiro e proteção do consumidor</w:t>
      </w:r>
    </w:p>
    <w:p>
      <w:r>
        <w:rPr>
          <w:lang w:val="pt-BR"/>
        </w:rPr>
        <w:t>A proposta educativa é ensinar a organizar informações sobre despesas, dívidas e canais de orientação, sem oferecer promessa de recuperação por novas apostas ou por intermediários. No contexto da transição, convém preservar comprovantes e protocolos e acompanhar comunicações oficiais sobre restituição. O comunicado da Fazenda detalha obrigações das empresas e manutenção de sua responsabilidade por compromissos do período de funcionamento. [8]</w:t>
      </w:r>
    </w:p>
    <w:p>
      <w:r>
        <w:rPr>
          <w:lang w:val="pt-BR"/>
        </w:rPr>
        <w:t>Renegociação de dívidas, atenção à saúde e restituição de saldo são processos diferentes. Medir um deles como se representasse recuperação completa produziria uma avaliação inadequada. O acompanhamento deve considerar se o orçamento essencial foi protegido e se o participante obteve atendimento, além de qualquer valor devolvido.</w:t>
      </w:r>
    </w:p>
    <w:p>
      <w:r>
        <w:rPr>
          <w:lang w:val="pt-BR"/>
        </w:rPr>
        <w:br w:type="page"/>
      </w:r>
    </w:p>
    <w:p>
      <w:pPr>
        <w:pStyle w:val="Heading1"/>
      </w:pPr>
      <w:r>
        <w:rPr>
          <w:lang w:val="pt-BR"/>
        </w:rPr>
        <w:t>8 Publicidade influenciadores e normalização</w:t>
      </w:r>
    </w:p>
    <w:p>
      <w:r>
        <w:rPr>
          <w:lang w:val="pt-BR"/>
        </w:rPr>
        <w:t>McGrane e colaboradores reuniram oito revisões sistemáticas, envolvendo 74 estudos distintos, sobre publicidade e apostas. A revisão encontrou evidências de efeitos sobre atitudes, intenções e comportamentos e descreveu maior influência entre crianças, jovens e pessoas já em risco. Os estudos e medidas são heterogêneos; não permitem atribuir a uma peça isolada todos os danos de um indivíduo. [4]</w:t>
      </w:r>
    </w:p>
    <w:p>
      <w:pPr>
        <w:pStyle w:val="Heading2"/>
      </w:pPr>
      <w:r>
        <w:rPr>
          <w:lang w:val="pt-BR"/>
        </w:rPr>
        <w:t>Exposição repetida e vínculo social</w:t>
      </w:r>
    </w:p>
    <w:p>
      <w:r>
        <w:rPr>
          <w:lang w:val="pt-BR"/>
        </w:rPr>
        <w:t>No ambiente digital, comunicação comercial pode se misturar a entretenimento, comentários esportivos e relações de confiança com criadores. A hipótese de trabalho é que repetição, familiaridade e aprovação social aumentem a aceitação da atividade. A análise deve distinguir publicidade explícita, patrocínio, afiliação comercial, conteúdo jornalístico e manifestação espontânea, com critérios documentados.</w:t>
      </w:r>
    </w:p>
    <w:p>
      <w:r>
        <w:rPr>
          <w:lang w:val="pt-BR"/>
        </w:rPr>
        <w:t>O dado brasileiro de contato com vídeos promocionais, apresentado na seção 4, mostra que o recorte “somente para adultos” não encerra a pergunta sobre exposição real. Os 53% da TIC Kids correspondem a usuários de Internet de 11 a 17 anos que relataram contato com esse conteúdo, e não a uma taxa de apostadores. O indicador fundamenta a necessidade de estudar distribuição e alcance. [6]</w:t>
      </w:r>
    </w:p>
    <w:p>
      <w:pPr>
        <w:pStyle w:val="Heading2"/>
      </w:pPr>
      <w:r>
        <w:rPr>
          <w:lang w:val="pt-BR"/>
        </w:rPr>
        <w:t>Advertência e proibição são objetos diferentes</w:t>
      </w:r>
    </w:p>
    <w:p>
      <w:r>
        <w:rPr>
          <w:lang w:val="pt-BR"/>
        </w:rPr>
        <w:t>No regime anterior, a discussão incluía suficiência das advertências e cumprimento de regras publicitárias. No quadro descrito pela MP nº 1.394/2026, a pesquisa deve considerar a proibição de publicidade no âmbito nela definido. Avaliar uma mensagem apenas pela presença de alerta seria insuficiente para examinar a situação jurídica atual. [7]</w:t>
      </w:r>
    </w:p>
    <w:p>
      <w:r>
        <w:rPr>
          <w:lang w:val="pt-BR"/>
        </w:rPr>
        <w:t>Propõe-se monitorar peças públicas por período, canal, formato, existência de vínculo comercial declarado e referência a mecanismos de acesso. A pesquisa não deve republicar links que ampliem circulação de ofertas clandestinas. Capturas necessárias à análise devem ter identificação de pessoas minimizada e finalidade exclusivamente documental.</w:t>
      </w:r>
    </w:p>
    <w:p>
      <w:pPr>
        <w:pStyle w:val="Heading2"/>
      </w:pPr>
      <w:r>
        <w:rPr>
          <w:lang w:val="pt-BR"/>
        </w:rPr>
        <w:t>Indicadores de avaliação</w:t>
      </w:r>
    </w:p>
    <w:p>
      <w:r>
        <w:rPr>
          <w:lang w:val="pt-BR"/>
        </w:rPr>
        <w:t>As métricas propostas incluem frequência de exposição relatada, reconhecimento de finalidade comercial, capacidade de identificar promessas enganosas e conhecimento de canais de denúncia. Quantidade de anúncios removidos é medida de atividade fiscalizatória; exposição residual e reincidência aproximam-se mais do problema vivido pelo público.</w:t>
      </w:r>
    </w:p>
    <w:p>
      <w:r>
        <w:rPr>
          <w:lang w:val="pt-BR"/>
        </w:rPr>
        <w:t>A tese de que toda limitação publicitária desloca necessariamente a demanda para o mercado clandestino precisa de demonstração. Sua avaliação requer medidas independentes de consumo, e não apenas contagem de links ou estimativa produzida por agentes com interesse econômico no resultado.</w:t>
      </w:r>
    </w:p>
    <w:p>
      <w:r>
        <w:rPr>
          <w:lang w:val="pt-BR"/>
        </w:rPr>
        <w:br w:type="page"/>
      </w:r>
    </w:p>
    <w:p>
      <w:pPr>
        <w:pStyle w:val="Heading1"/>
      </w:pPr>
      <w:r>
        <w:rPr>
          <w:lang w:val="pt-BR"/>
        </w:rPr>
        <w:t>9 Infância adolescência e fronteiras dos jogos</w:t>
      </w:r>
    </w:p>
    <w:p>
      <w:pPr>
        <w:pStyle w:val="Heading2"/>
      </w:pPr>
      <w:r>
        <w:rPr>
          <w:lang w:val="pt-BR"/>
        </w:rPr>
        <w:t>Distinguir jogar comprar e apostar</w:t>
      </w:r>
    </w:p>
    <w:p>
      <w:r>
        <w:rPr>
          <w:lang w:val="pt-BR"/>
        </w:rPr>
        <w:t>Videogames, compras de itens definidos, caixas de recompensa aleatória e apostas monetárias não são categorias intercambiáveis. Uma compra de item conhecido pode gerar problemas de consumo sem conter o mecanismo aleatório de uma loot box. Essa distinção evita que a prevenção estigmatize toda cultura dos jogos e permite examinar o risco específico de cada funcionalidade.</w:t>
      </w:r>
    </w:p>
    <w:p>
      <w:r>
        <w:rPr>
          <w:lang w:val="pt-BR"/>
        </w:rPr>
        <w:t>Zendle, Meyer e Over estudaram 1.155 participantes de 16 a 18 anos e encontraram associação entre gasto com loot boxes e jogo problemático. O levantamento não resolve a direção causal: vulnerabilidade prévia pode aumentar compras, a exposição pode contribuir para o problema, ou os dois processos podem coexistir. Não autoriza afirmar que toda criança que usa uma caixa de recompensa desenvolverá transtorno. [21]</w:t>
      </w:r>
    </w:p>
    <w:p>
      <w:pPr>
        <w:pStyle w:val="Heading2"/>
      </w:pPr>
      <w:r>
        <w:rPr>
          <w:lang w:val="pt-BR"/>
        </w:rPr>
        <w:t>Proteção desde a concepção</w:t>
      </w:r>
    </w:p>
    <w:p>
      <w:r>
        <w:rPr>
          <w:lang w:val="pt-BR"/>
        </w:rPr>
        <w:t>O art. 20 do ECA Digital veda caixas de recompensa nos jogos direcionados a crianças e adolescentes ou de acesso provável por eles, nos termos da classificação indicativa. O Decreto nº 12.880/2026 trata de impedir o acesso de menores à funcionalidade e contempla versões sem loot boxes ou restrição total por padrão. A avaliação deve examinar a implementação concreta, sem considerar a mera autodeclaração de idade como prova suficiente de proteção. [13,14]</w:t>
      </w:r>
    </w:p>
    <w:p>
      <w:r>
        <w:rPr>
          <w:lang w:val="pt-BR"/>
        </w:rPr>
        <w:t>A verificação de idade também tem custos e riscos. Exigir coleta excessiva de documentos de toda pessoa pode ampliar exposição de dados. O desenho de proteção precisa considerar proporcionalidade, minimização, precisão, contestação de erros e acessibilidade. O regulamento expressamente vincula aferição de idade a cuidados de privacidade e limitação de finalidade. [14]</w:t>
      </w:r>
    </w:p>
    <w:p>
      <w:pPr>
        <w:pStyle w:val="Heading2"/>
      </w:pPr>
      <w:r>
        <w:rPr>
          <w:lang w:val="pt-BR"/>
        </w:rPr>
        <w:t>Educação adequada à idade</w:t>
      </w:r>
    </w:p>
    <w:p>
      <w:r>
        <w:rPr>
          <w:lang w:val="pt-BR"/>
        </w:rPr>
        <w:t>Para crianças, propõe-se trabalhar publicidade, sorte, frustração, consumo e pedido de ajuda sem simular apostas. Para adolescentes, é possível acrescentar probabilidades, publicidade por influenciadores, pagamentos digitais e direitos. Em ambos os casos, exemplos devem ser neutros, sem marcas e sem recompensas financeiras vinculadas ao desempenho.</w:t>
      </w:r>
    </w:p>
    <w:p>
      <w:r>
        <w:rPr>
          <w:lang w:val="pt-BR"/>
        </w:rPr>
        <w:t>A participação familiar pode apoiar diálogo e organização do cotidiano. Ela não substitui deveres dos fornecedores, dos distribuidores de conteúdo e do poder público. Uma avaliação educativa deve verificar o que a criança compreende e o que o ambiente permite, em vez de medir apenas a vigilância exercida pelos responsáveis.</w:t>
      </w:r>
    </w:p>
    <w:p>
      <w:pPr>
        <w:pStyle w:val="Heading2"/>
      </w:pPr>
      <w:r>
        <w:rPr>
          <w:lang w:val="pt-BR"/>
        </w:rPr>
        <w:t>Limite do protocolo inicial</w:t>
      </w:r>
    </w:p>
    <w:p>
      <w:r>
        <w:rPr>
          <w:lang w:val="pt-BR"/>
        </w:rPr>
        <w:t>A primeira etapa de campo aqui proposta inclui somente adultos. Pesquisa direta com menores exige desenho próprio, apreciação ética aplicável, consentimento e assentimento pertinentes e fluxo de proteção. Resultados obtidos com adultos responsáveis não representam automaticamente experiências ou opiniões de adolescentes.</w:t>
      </w:r>
    </w:p>
    <w:p>
      <w:r>
        <w:rPr>
          <w:lang w:val="pt-BR"/>
        </w:rPr>
        <w:br w:type="page"/>
      </w:r>
    </w:p>
    <w:p>
      <w:pPr>
        <w:pStyle w:val="Heading1"/>
      </w:pPr>
      <w:r>
        <w:rPr>
          <w:lang w:val="pt-BR"/>
        </w:rPr>
        <w:t>10 Dados pessoais algoritmos e segurança</w:t>
      </w:r>
    </w:p>
    <w:p>
      <w:r>
        <w:rPr>
          <w:lang w:val="pt-BR"/>
        </w:rPr>
        <w:t>O tratamento de dados é parte do problema de pesquisa porque permite identificação, observação de comportamento e tomada de decisões. Biometria vinculada a pessoa natural é dado pessoal sensível na LGPD. O art. 20 prevê o direito de solicitar revisão de decisões tomadas unicamente com base em tratamento automatizado que afetem interesses. Não se deve transformar essa previsão em promessa de que toda decisão será explicada integralmente ou revista por pessoa natural. [12]</w:t>
      </w:r>
    </w:p>
    <w:p>
      <w:pPr>
        <w:pStyle w:val="Heading2"/>
      </w:pPr>
      <w:r>
        <w:rPr>
          <w:lang w:val="pt-BR"/>
        </w:rPr>
        <w:t>Proteção e uso comercial da vulnerabilidade</w:t>
      </w:r>
    </w:p>
    <w:p>
      <w:r>
        <w:rPr>
          <w:lang w:val="pt-BR"/>
        </w:rPr>
        <w:t>Como hipótese de governança, sinais de dificuldade podem ser utilizados para proteção ou reaproveitados para estimular retorno. A pesquisa não presume que um operador específico pratique isso. Propõe exigir evidência sobre finalidade, acesso interno, regras de compartilhamento e resultados das intervenções. A qualidade de um modelo não deve ser julgada apenas pela sua capacidade de prever comportamento.</w:t>
      </w:r>
    </w:p>
    <w:p>
      <w:r>
        <w:rPr>
          <w:lang w:val="pt-BR"/>
        </w:rPr>
        <w:t>Um modelo que identifica risco com boa precisão estatística ainda pode falhar na proteção se a ação posterior for inadequada. Também pode produzir falso positivo, restringindo injustamente alguém, ou falso negativo, deixando de reconhecer sofrimento. Para examinar desigualdades, seriam necessários dados e metodologia próprios, inclusive análise de erros por grupos quando houver fundamento e tamanho amostral suficientes.</w:t>
      </w:r>
    </w:p>
    <w:p>
      <w:pPr>
        <w:pStyle w:val="Heading2"/>
      </w:pPr>
      <w:r>
        <w:rPr>
          <w:lang w:val="pt-BR"/>
        </w:rPr>
        <w:t>Biometria não significa segurança absoluta</w:t>
      </w:r>
    </w:p>
    <w:p>
      <w:r>
        <w:rPr>
          <w:lang w:val="pt-BR"/>
        </w:rPr>
        <w:t>A ANPD destaca riscos de tratamento biométrico ligados a segurança, adequação da hipótese legal e consequências de incidentes. A possibilidade de autenticar identidade não elimina risco de vazamento ou uso incompatível. A nota técnica consultada trata do tema de forma geral; não constitui constatação de infração por uma plataforma de apostas analisada nesta pesquisa. [22]</w:t>
      </w:r>
    </w:p>
    <w:p>
      <w:r>
        <w:rPr>
          <w:lang w:val="pt-BR"/>
        </w:rPr>
        <w:t>Para investigação futura, propõem-se perguntas sobre necessidade da coleta, prazo de retenção, fornecedores envolvidos, controle de acesso e procedimento de contestação. Não é necessário recolher rostos, documentos ou dados bancários dos participantes para avaliar sua compreensão sobre essas práticas. A pesquisa deve evitar reproduzir o risco que pretende estudar.</w:t>
      </w:r>
    </w:p>
    <w:p>
      <w:pPr>
        <w:pStyle w:val="Heading2"/>
      </w:pPr>
      <w:r>
        <w:rPr>
          <w:lang w:val="pt-BR"/>
        </w:rPr>
        <w:t>Dados no encerramento das operações</w:t>
      </w:r>
    </w:p>
    <w:p>
      <w:r>
        <w:rPr>
          <w:lang w:val="pt-BR"/>
        </w:rPr>
        <w:t>A extinção da atividade comercial não permite concluir que todos os registros devam ser apagados de imediato. Obrigações de conservação, defesa de direitos e fiscalização podem coexistir com limites de finalidade e retenção. A avaliação deve distinguir base legal de guarda, acesso legítimo e reutilização promocional. Dados conservados por obrigação não se tornam disponíveis para qualquer finalidade. [8,12]</w:t>
      </w:r>
    </w:p>
    <w:p>
      <w:r>
        <w:rPr>
          <w:lang w:val="pt-BR"/>
        </w:rPr>
        <w:t>O estudo propõe um inventário de categorias de dados e decisões: identificação, histórico transacional, comunicação comercial, biometria e pedidos de atendimento. Para cada categoria, devem ser registrados finalidade, responsável, retenção e destino. Trata-se de roteiro de auditoria, não de certificação de conformidade.</w:t>
      </w:r>
    </w:p>
    <w:p>
      <w:r>
        <w:rPr>
          <w:lang w:val="pt-BR"/>
        </w:rPr>
        <w:br w:type="page"/>
      </w:r>
    </w:p>
    <w:p>
      <w:pPr>
        <w:pStyle w:val="Heading1"/>
      </w:pPr>
      <w:r>
        <w:rPr>
          <w:lang w:val="pt-BR"/>
        </w:rPr>
        <w:t>11 Debates atuais e critérios de avaliação</w:t>
      </w:r>
    </w:p>
    <w:tbl>
      <w:tblPr>
        <w:tblW w:type="auto" w:w="0"/>
        <w:jc w:val="center"/>
        <w:tblLayout w:type="fixed"/>
        <w:tblLook w:firstColumn="1" w:firstRow="1" w:lastColumn="0" w:lastRow="0" w:noHBand="0" w:noVBand="1" w:val="04A0"/>
      </w:tblPr>
      <w:tblGrid>
        <w:gridCol w:w="2160"/>
        <w:gridCol w:w="3701"/>
        <w:gridCol w:w="3989"/>
      </w:tblGrid>
      <w:tr>
        <w:trPr>
          <w:tblHeade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Debate</w:t>
            </w:r>
          </w:p>
        </w:tc>
        <w:tc>
          <w:tcPr>
            <w:tcW w:type="dxa" w:w="370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Argumentos em disputa</w:t>
            </w:r>
          </w:p>
        </w:tc>
        <w:tc>
          <w:tcPr>
            <w:tcW w:type="dxa" w:w="398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Critério proposto</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Autonomia e saúde pública</w:t>
            </w:r>
          </w:p>
        </w:tc>
        <w:tc>
          <w:tcPr>
            <w:tcW w:type="dxa" w:w="370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Liberdade de escolha; assimetria informacional; efeitos sobre terceiros.</w:t>
            </w:r>
          </w:p>
        </w:tc>
        <w:tc>
          <w:tcPr>
            <w:tcW w:type="dxa" w:w="398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Avaliar condições reais de decisão, danos e meios proporcionais de proteção.</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Proibição e mercado clandestino</w:t>
            </w:r>
          </w:p>
        </w:tc>
        <w:tc>
          <w:tcPr>
            <w:tcW w:type="dxa" w:w="370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Redução de oferta e exposição; possível deslocamento para circuitos ilegais.</w:t>
            </w:r>
          </w:p>
        </w:tc>
        <w:tc>
          <w:tcPr>
            <w:tcW w:type="dxa" w:w="398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Medir participação, perdas e exposição antes e depois, com fontes independentes.</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Educação e desenho do produto</w:t>
            </w:r>
          </w:p>
        </w:tc>
        <w:tc>
          <w:tcPr>
            <w:tcW w:type="dxa" w:w="370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Melhora de conhecimento; capacidade limitada de contrapor estímulos persistentes.</w:t>
            </w:r>
          </w:p>
        </w:tc>
        <w:tc>
          <w:tcPr>
            <w:tcW w:type="dxa" w:w="398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Separar aprendizagem de desfechos financeiros e de saúde.</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Dados e prevenção</w:t>
            </w:r>
          </w:p>
        </w:tc>
        <w:tc>
          <w:tcPr>
            <w:tcW w:type="dxa" w:w="370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Identificação de risco; vigilância excessiva e decisões injustas.</w:t>
            </w:r>
          </w:p>
        </w:tc>
        <w:tc>
          <w:tcPr>
            <w:tcW w:type="dxa" w:w="398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Verificar necessidade, finalidade, erros, contestação e efeito da intervenção.</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Arrecadação e custos sociais</w:t>
            </w:r>
          </w:p>
        </w:tc>
        <w:tc>
          <w:tcPr>
            <w:tcW w:type="dxa" w:w="370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Receitas e empregos; gastos públicos e danos às famílias.</w:t>
            </w:r>
          </w:p>
        </w:tc>
        <w:tc>
          <w:tcPr>
            <w:tcW w:type="dxa" w:w="398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Comparar medidas compatíveis, explicitar hipóteses e evitar dupla contagem.</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Pesquisa e financiamento</w:t>
            </w:r>
          </w:p>
        </w:tc>
        <w:tc>
          <w:tcPr>
            <w:tcW w:type="dxa" w:w="370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Recursos para investigar; risco de agenda orientada por interesses comerciais.</w:t>
            </w:r>
          </w:p>
        </w:tc>
        <w:tc>
          <w:tcPr>
            <w:tcW w:type="dxa" w:w="398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Divulgar vínculos e preservar acesso a dados, método e liberdade de publicação.</w:t>
            </w:r>
          </w:p>
        </w:tc>
      </w:tr>
    </w:tbl>
    <w:p>
      <w:pPr>
        <w:spacing w:after="0"/>
      </w:pPr>
    </w:p>
    <w:p>
      <w:r>
        <w:rPr>
          <w:lang w:val="pt-BR"/>
        </w:rPr>
        <w:t>O quadro é síntese analítica proposta neste documento. Não apresenta esses argumentos como igualmente demonstrados, nem como decisões jurídicas concluídas. A força de cada posição depende da qualidade da evidência usada para sustentá-la.</w:t>
      </w:r>
    </w:p>
    <w:p>
      <w:pPr>
        <w:pStyle w:val="Heading2"/>
      </w:pPr>
      <w:r>
        <w:rPr>
          <w:lang w:val="pt-BR"/>
        </w:rPr>
        <w:t>Uma comparação internacional útil</w:t>
      </w:r>
    </w:p>
    <w:p>
      <w:r>
        <w:rPr>
          <w:lang w:val="pt-BR"/>
        </w:rPr>
        <w:t>A Gambling Commission britânica publicou, em maio de 2026, resultados iniciais sobre verificações de vulnerabilidade financeira com dados públicos. O órgão distinguiu essas verificações de avaliações financeiras mais amplas e alertou para interpretações equivocadas por operadores. O próprio relato ressalta que a análise inicial depende majoritariamente de uma fonte de dados. [23]</w:t>
      </w:r>
    </w:p>
    <w:p>
      <w:r>
        <w:rPr>
          <w:lang w:val="pt-BR"/>
        </w:rPr>
        <w:t>O caso é útil para discutir implementação e transparência, não para importar automaticamente uma política para o Brasil. Uma medida formalmente prevista pode ser mal compreendida por quem a executa. Sua avaliação precisa examinar processo, consequências e erros, além da existência de uma regra.</w:t>
      </w:r>
    </w:p>
    <w:p>
      <w:pPr>
        <w:pStyle w:val="Heading2"/>
      </w:pPr>
      <w:r>
        <w:rPr>
          <w:lang w:val="pt-BR"/>
        </w:rPr>
        <w:t>A qualidade da fiscalização</w:t>
      </w:r>
    </w:p>
    <w:p>
      <w:r>
        <w:rPr>
          <w:lang w:val="pt-BR"/>
        </w:rPr>
        <w:t>Fisher e colaboradores mapearam 27 fontes e destacaram a necessidade de recursos e estrutura para tornar a regulação efetiva. A revisão tem heterogeneidade de desenhos e não realizou avaliação formal de qualidade de cada estudo. Sua contribuição é mapear problemas e lacunas, não fornecer uma estimativa causal única de qual modelo regulatório funciona melhor. [17]</w:t>
      </w:r>
    </w:p>
    <w:p>
      <w:r>
        <w:rPr>
          <w:lang w:val="pt-BR"/>
        </w:rPr>
        <w:t>Para o Brasil, propõe-se avaliar a transição de 2026 por resultados públicos comparáveis: exposição, circulação financeira identificável, acesso a cuidado, restituição e reclamações. A simples existência de norma, campanha ou bloqueio não responde se houve redução sustentada de dano.</w:t>
      </w:r>
    </w:p>
    <w:p>
      <w:r>
        <w:rPr>
          <w:lang w:val="pt-BR"/>
        </w:rPr>
        <w:br w:type="page"/>
      </w:r>
    </w:p>
    <w:p>
      <w:pPr>
        <w:pStyle w:val="Heading1"/>
      </w:pPr>
      <w:r>
        <w:rPr>
          <w:lang w:val="pt-BR"/>
        </w:rPr>
        <w:t>12 Matriz aplicada de riscos e respostas</w:t>
      </w:r>
    </w:p>
    <w:p>
      <w:r>
        <w:rPr>
          <w:lang w:val="pt-BR"/>
        </w:rPr>
        <w:t>A matriz transforma a análise em objetos de investigação. As prioridades são qualitativas e propositivas, sem escore clínico ou classificação validada. Uma mesma pessoa pode enfrentar riscos em mais de uma dimensão. Responsabilidade institucional não é substituída por recomendações ao usuário.</w:t>
      </w:r>
    </w:p>
    <w:tbl>
      <w:tblPr>
        <w:tblW w:type="auto" w:w="0"/>
        <w:jc w:val="center"/>
        <w:tblLayout w:type="fixed"/>
        <w:tblLook w:firstColumn="1" w:firstRow="1" w:lastColumn="0" w:lastRow="0" w:noHBand="0" w:noVBand="1" w:val="04A0"/>
      </w:tblPr>
      <w:tblGrid>
        <w:gridCol w:w="2261"/>
        <w:gridCol w:w="2232"/>
        <w:gridCol w:w="2678"/>
        <w:gridCol w:w="2678"/>
      </w:tblGrid>
      <w:tr>
        <w:trPr>
          <w:tblHeader/>
          <w:cantSplit/>
        </w:trPr>
        <w:tc>
          <w:tcPr>
            <w:tcW w:type="dxa" w:w="22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Mecanismo ou situação</w:t>
            </w:r>
          </w:p>
        </w:tc>
        <w:tc>
          <w:tcPr>
            <w:tcW w:type="dxa" w:w="223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Dano a observar</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Resposta e responsável</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Indicador de acompanhamento</w:t>
            </w:r>
          </w:p>
        </w:tc>
      </w:tr>
      <w:tr>
        <w:trPr>
          <w:cantSplit/>
        </w:trPr>
        <w:tc>
          <w:tcPr>
            <w:tcW w:type="dxa" w:w="22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Interação rápida e quase acertos</w:t>
            </w:r>
          </w:p>
        </w:tc>
        <w:tc>
          <w:tcPr>
            <w:tcW w:type="dxa" w:w="223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Persistência e exposição financeira</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Pesquisa independente sobre produto e fiscalização competente</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Intervalos, duração e resultados de testes controlados</w:t>
            </w:r>
          </w:p>
        </w:tc>
      </w:tr>
      <w:tr>
        <w:trPr>
          <w:cantSplit/>
        </w:trPr>
        <w:tc>
          <w:tcPr>
            <w:tcW w:type="dxa" w:w="22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Divulgação repetida de apostas</w:t>
            </w:r>
          </w:p>
        </w:tc>
        <w:tc>
          <w:tcPr>
            <w:tcW w:type="dxa" w:w="223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Normalização e exposição de menores</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Distribuidores de conteúdo e fiscalização das regras</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Frequência de exposição e reincidência após remoção</w:t>
            </w:r>
          </w:p>
        </w:tc>
      </w:tr>
      <w:tr>
        <w:trPr>
          <w:cantSplit/>
        </w:trPr>
        <w:tc>
          <w:tcPr>
            <w:tcW w:type="dxa" w:w="22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Pressão financeira no domicílio</w:t>
            </w:r>
          </w:p>
        </w:tc>
        <w:tc>
          <w:tcPr>
            <w:tcW w:type="dxa" w:w="223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Comprometimento de necessidades essenciais</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Rede de cuidado e orientação financeira e social</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Contas essenciais afetadas e acesso ao apoio</w:t>
            </w:r>
          </w:p>
        </w:tc>
      </w:tr>
      <w:tr>
        <w:trPr>
          <w:cantSplit/>
        </w:trPr>
        <w:tc>
          <w:tcPr>
            <w:tcW w:type="dxa" w:w="22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Dificuldade de interromper a atividade</w:t>
            </w:r>
          </w:p>
        </w:tc>
        <w:tc>
          <w:tcPr>
            <w:tcW w:type="dxa" w:w="223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Perda de controle e sofrimento</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Serviços de saúde com acolhimento e encaminhamento</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Busca de ajuda, acesso e continuidade do cuidado</w:t>
            </w:r>
          </w:p>
        </w:tc>
      </w:tr>
      <w:tr>
        <w:trPr>
          <w:cantSplit/>
        </w:trPr>
        <w:tc>
          <w:tcPr>
            <w:tcW w:type="dxa" w:w="22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Coleta excessiva ou reutilização de dados</w:t>
            </w:r>
          </w:p>
        </w:tc>
        <w:tc>
          <w:tcPr>
            <w:tcW w:type="dxa" w:w="223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Vazamento e exploração de vulnerabilidade</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Controladores e fiscalização de dados pessoais</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Finalidades, retenção, incidentes e resposta a direitos</w:t>
            </w:r>
          </w:p>
        </w:tc>
      </w:tr>
      <w:tr>
        <w:trPr>
          <w:cantSplit/>
        </w:trPr>
        <w:tc>
          <w:tcPr>
            <w:tcW w:type="dxa" w:w="22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Encerramento e restituição</w:t>
            </w:r>
          </w:p>
        </w:tc>
        <w:tc>
          <w:tcPr>
            <w:tcW w:type="dxa" w:w="223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Saldo não devolvido e perda de prova</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Empresas, instituições financeiras e autoridades competentes</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Devoluções conciliadas e reclamações resolvidas</w:t>
            </w:r>
          </w:p>
        </w:tc>
      </w:tr>
      <w:tr>
        <w:trPr>
          <w:cantSplit/>
        </w:trPr>
        <w:tc>
          <w:tcPr>
            <w:tcW w:type="dxa" w:w="22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Oferta clandestina e falsa assistência</w:t>
            </w:r>
          </w:p>
        </w:tc>
        <w:tc>
          <w:tcPr>
            <w:tcW w:type="dxa" w:w="223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Fraude e novos prejuízos</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Fiscalização e educação contra golpes</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Reincidência, alcance residual e relatos verificados</w:t>
            </w:r>
          </w:p>
        </w:tc>
      </w:tr>
      <w:tr>
        <w:trPr>
          <w:cantSplit/>
        </w:trPr>
        <w:tc>
          <w:tcPr>
            <w:tcW w:type="dxa" w:w="2261"/>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Lacuna educativa e estigma</w:t>
            </w:r>
          </w:p>
        </w:tc>
        <w:tc>
          <w:tcPr>
            <w:tcW w:type="dxa" w:w="223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Dificuldade de reconhecer risco e pedir ajuda</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Projeto educativo e rede comunitária</w:t>
            </w:r>
          </w:p>
        </w:tc>
        <w:tc>
          <w:tcPr>
            <w:tcW w:type="dxa" w:w="267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Compreensão aplicada e encaminhamentos efetivos</w:t>
            </w:r>
          </w:p>
        </w:tc>
      </w:tr>
    </w:tbl>
    <w:p>
      <w:pPr>
        <w:spacing w:after="0"/>
      </w:pPr>
    </w:p>
    <w:p>
      <w:pPr>
        <w:pStyle w:val="Heading2"/>
      </w:pPr>
      <w:r>
        <w:rPr>
          <w:lang w:val="pt-BR"/>
        </w:rPr>
        <w:t>Aplicação em uma situação hipotética</w:t>
      </w:r>
    </w:p>
    <w:p>
      <w:r>
        <w:rPr>
          <w:lang w:val="pt-BR"/>
        </w:rPr>
        <w:t>Uma pessoa adulta relata contato frequente com divulgação, sessões prolongadas e atraso de uma conta essencial. O relato não basta para diagnosticar transtorno ou atribuir responsabilidade jurídica a uma empresa. Ele permite registrar exposição, consequência e necessidade de acolhimento, além de investigar quando cada evento ocorreu.</w:t>
      </w:r>
    </w:p>
    <w:p>
      <w:r>
        <w:rPr>
          <w:lang w:val="pt-BR"/>
        </w:rPr>
        <w:t>O procedimento proposto é oferecer informação de apoio, obter consentimento para eventual participação e analisar os dados por dimensão. Se também houver saldo pendente no encerramento, abrir registro específico de restituição. Misturar todas as experiências em uma única pontuação ocultaria mecanismos diferentes e dificultaria escolher respostas.</w:t>
      </w:r>
    </w:p>
    <w:p>
      <w:r>
        <w:rPr>
          <w:lang w:val="pt-BR"/>
        </w:rPr>
        <w:br w:type="page"/>
      </w:r>
    </w:p>
    <w:p>
      <w:pPr>
        <w:pStyle w:val="Heading1"/>
      </w:pPr>
      <w:r>
        <w:rPr>
          <w:lang w:val="pt-BR"/>
        </w:rPr>
        <w:t>13 Protocolo para pesquisa de campo</w:t>
      </w:r>
    </w:p>
    <w:p>
      <w:pPr>
        <w:pStyle w:val="Heading2"/>
      </w:pPr>
      <w:r>
        <w:rPr>
          <w:lang w:val="pt-BR"/>
        </w:rPr>
        <w:t>Desenho e participantes</w:t>
      </w:r>
    </w:p>
    <w:p>
      <w:r>
        <w:rPr>
          <w:lang w:val="pt-BR"/>
        </w:rPr>
        <w:t>Propõe-se estudo exploratório de métodos mistos com adultos, articulando questionário, entrevistas e análise de materiais educativos. A população de interesse inclui pessoas com e sem experiência de apostas, familiares adultos, educadores e profissionais de apoio. O recrutamento deve ocorrer por mais de um canal para reduzir concentração em seguidores da autora ou usuários de um único serviço.</w:t>
      </w:r>
    </w:p>
    <w:p>
      <w:r>
        <w:rPr>
          <w:lang w:val="pt-BR"/>
        </w:rPr>
        <w:t xml:space="preserve">Uma etapa inicial pode trabalhar com </w:t>
      </w:r>
      <w:r>
        <w:rPr>
          <w:b/>
          <w:lang w:val="pt-BR"/>
        </w:rPr>
        <w:t>200 adultos por conveniência</w:t>
      </w:r>
      <w:r>
        <w:rPr>
          <w:lang w:val="pt-BR"/>
        </w:rPr>
        <w:t>, meta operacional sujeita a recursos e viabilidade. Esse número não resulta de cálculo de poder e não autoriza estimar prevalência no Distrito Federal ou no Brasil. Antes de uma etapa confirmatória, será necessário definir desfecho principal, efeito de interesse, perdas esperadas e cálculo amostral.</w:t>
      </w:r>
    </w:p>
    <w:p>
      <w:r>
        <w:rPr>
          <w:lang w:val="pt-BR"/>
        </w:rPr>
        <w:t>Recomenda-se piloto cognitivo com aproximadamente 10 a 15 adultos para verificar compreensão, desconforto e duração. Para as entrevistas, uma faixa inicial de 12 a 20 participantes pode orientar logística; suficiência deve ser avaliada pela diversidade e riqueza das informações, documentando critérios de encerramento. Não há participantes recrutados nesta fase.</w:t>
      </w:r>
    </w:p>
    <w:p>
      <w:pPr>
        <w:pStyle w:val="Heading2"/>
      </w:pPr>
      <w:r>
        <w:rPr>
          <w:lang w:val="pt-BR"/>
        </w:rPr>
        <w:t>Perguntas e hipóteses</w:t>
      </w:r>
    </w:p>
    <w:p>
      <w:r>
        <w:rPr>
          <w:lang w:val="pt-BR"/>
        </w:rPr>
        <w:t>H1: maior exposição promocional relatada se associa a maior normalização das apostas. H2: compreensão de probabilidades não explica, sozinha, consequências financeiras. H3: barreiras de acesso ao cuidado ajudam a explicar a diferença entre intenção e busca efetiva de apoio. H4: uma oficina baseada em casos melhora compreensão aplicada e conhecimento de direitos. São hipóteses a testar, não conclusões.</w:t>
      </w:r>
    </w:p>
    <w:p>
      <w:pPr>
        <w:pStyle w:val="Heading2"/>
      </w:pPr>
      <w:r>
        <w:rPr>
          <w:lang w:val="pt-BR"/>
        </w:rPr>
        <w:t>Coleta e análise</w:t>
      </w:r>
    </w:p>
    <w:p>
      <w:r>
        <w:rPr>
          <w:lang w:val="pt-BR"/>
        </w:rPr>
        <w:t>O questionário deve registrar exposição e experiências nos últimos 30 dias, com datas da coleta. No contexto atual, incluir datas aproximadas dos episódios para separar situações anteriores e posteriores à mudança de setembro. Entrevistas devem aprofundar trajetória, decisões e barreiras, evitando solicitar senhas, extratos completos, biometria ou identificação de operadores clandestinos em formulário público.</w:t>
      </w:r>
    </w:p>
    <w:p>
      <w:r>
        <w:rPr>
          <w:lang w:val="pt-BR"/>
        </w:rPr>
        <w:t>A análise quantitativa apresentará frequências com denominadores explícitos, valores ausentes e medidas de incerteza quando cabíveis. Associações devem ser exploratórias e ajustadas apenas quando os dados sustentarem o modelo. A análise qualitativa utilizará codificação temática documentada, busca de casos divergentes e registro das decisões analíticas.</w:t>
      </w:r>
    </w:p>
    <w:p>
      <w:pPr>
        <w:pStyle w:val="Heading2"/>
      </w:pPr>
      <w:r>
        <w:rPr>
          <w:lang w:val="pt-BR"/>
        </w:rPr>
        <w:t>Ética e governança</w:t>
      </w:r>
    </w:p>
    <w:p>
      <w:r>
        <w:rPr>
          <w:lang w:val="pt-BR"/>
        </w:rPr>
        <w:t>Antes de iniciar, definir instituição responsável, financiamento, base legal do tratamento, avaliação ética aplicável e fluxo de cuidado. Consentimento deve explicar voluntariedade, possibilidade de não responder, finalidade, retenção e contato para direitos. Participar não pode condicionar atendimento ou acesso ao material. Dados de contato para seguimento devem ficar separados das respostas, com acesso restrito. [12]</w:t>
      </w:r>
    </w:p>
    <w:p>
      <w:r>
        <w:rPr>
          <w:lang w:val="pt-BR"/>
        </w:rPr>
        <w:t>O protocolo não deve coletar risco agudo por formulário sem capacidade de resposta. Entrevistas sobre sofrimento exigem equipe treinada e encaminhamento previamente organizado. A base pública deve conter somente resultados agregados ou dados com anonimização avaliada; remover nomes não basta para eliminar reidentificação.</w:t>
      </w:r>
    </w:p>
    <w:p>
      <w:r>
        <w:rPr>
          <w:lang w:val="pt-BR"/>
        </w:rPr>
        <w:br w:type="page"/>
      </w:r>
    </w:p>
    <w:p>
      <w:pPr>
        <w:pStyle w:val="Heading1"/>
      </w:pPr>
      <w:r>
        <w:rPr>
          <w:lang w:val="pt-BR"/>
        </w:rPr>
        <w:t>14 Avaliação da ação educativa</w:t>
      </w:r>
    </w:p>
    <w:p>
      <w:r>
        <w:rPr>
          <w:lang w:val="pt-BR"/>
        </w:rPr>
        <w:t>A cartilha pode ser estudada como intervenção educativa. A pergunta principal proposta é se uma versão atualizada melhora a capacidade de reconhecer riscos e localizar apoio. O documento não pressupõe que uma sessão reduza transtorno, endividamento ou participação em apostas.</w:t>
      </w:r>
    </w:p>
    <w:p>
      <w:pPr>
        <w:pStyle w:val="Heading2"/>
      </w:pPr>
      <w:r>
        <w:rPr>
          <w:lang w:val="pt-BR"/>
        </w:rPr>
        <w:t>Desenho inicial de avaliação</w:t>
      </w:r>
    </w:p>
    <w:p>
      <w:r>
        <w:rPr>
          <w:lang w:val="pt-BR"/>
        </w:rPr>
        <w:t>Para uma etapa de viabilidade, aplicar questões equivalentes antes e depois de uma oficina e realizar seguimento em cerca de 30 dias. O estudo antes e depois descreve mudança no grupo, mas permanece sujeito a efeito de teste, acontecimentos externos, seleção e perda de participantes. Resultados devem ser apresentados com essas limitações.</w:t>
      </w:r>
    </w:p>
    <w:p>
      <w:r>
        <w:rPr>
          <w:lang w:val="pt-BR"/>
        </w:rPr>
        <w:t>Uma etapa posterior pode comparar grupos por alocação aleatória, com acesso escalonado à oficina, desde que haja viabilidade, avaliação ética e cálculo amostral. Informação essencial de cuidado deve estar disponível a todos desde o início. O contraste comparará a oficina adicional, sem retirar acesso a serviços ou proteção.</w:t>
      </w:r>
    </w:p>
    <w:tbl>
      <w:tblPr>
        <w:tblW w:type="auto" w:w="0"/>
        <w:jc w:val="center"/>
        <w:tblLayout w:type="fixed"/>
        <w:tblLook w:firstColumn="1" w:firstRow="1" w:lastColumn="0" w:lastRow="0" w:noHBand="0" w:noVBand="1" w:val="04A0"/>
      </w:tblPr>
      <w:tblGrid>
        <w:gridCol w:w="2160"/>
        <w:gridCol w:w="3888"/>
        <w:gridCol w:w="3802"/>
      </w:tblGrid>
      <w:tr>
        <w:trPr>
          <w:tblHeade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Dimensão</w:t>
            </w:r>
          </w:p>
        </w:tc>
        <w:tc>
          <w:tcPr>
            <w:tcW w:type="dxa" w:w="38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Medida proposta</w:t>
            </w:r>
          </w:p>
        </w:tc>
        <w:tc>
          <w:tcPr>
            <w:tcW w:type="dxa" w:w="380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O que não demonstra</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Compreensão aplicada</w:t>
            </w:r>
          </w:p>
        </w:tc>
        <w:tc>
          <w:tcPr>
            <w:tcW w:type="dxa" w:w="38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Respostas a casos sobre publicidade, probabilidades e dados</w:t>
            </w:r>
          </w:p>
        </w:tc>
        <w:tc>
          <w:tcPr>
            <w:tcW w:type="dxa" w:w="380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Redução de transtorno ou proteção jurídica automática</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Acesso a direitos</w:t>
            </w:r>
          </w:p>
        </w:tc>
        <w:tc>
          <w:tcPr>
            <w:tcW w:type="dxa" w:w="38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Capacidade de localizar fonte oficial e formular pedido</w:t>
            </w:r>
          </w:p>
        </w:tc>
        <w:tc>
          <w:tcPr>
            <w:tcW w:type="dxa" w:w="380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Conclusão do atendimento ou resolução da reclamação</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Busca de apoio</w:t>
            </w:r>
          </w:p>
        </w:tc>
        <w:tc>
          <w:tcPr>
            <w:tcW w:type="dxa" w:w="38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Tentativa, acesso e continuidade relatados no seguimento</w:t>
            </w:r>
          </w:p>
        </w:tc>
        <w:tc>
          <w:tcPr>
            <w:tcW w:type="dxa" w:w="380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Cura ou eficácia clínica da oficina</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Efeito indesejado</w:t>
            </w:r>
          </w:p>
        </w:tc>
        <w:tc>
          <w:tcPr>
            <w:tcW w:type="dxa" w:w="38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Curiosidade de apostar ou desconforto após a atividade</w:t>
            </w:r>
          </w:p>
        </w:tc>
        <w:tc>
          <w:tcPr>
            <w:tcW w:type="dxa" w:w="380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Ausência de risco se ninguém relatar espontaneamente</w:t>
            </w:r>
          </w:p>
        </w:tc>
      </w:tr>
      <w:tr>
        <w:trPr>
          <w:cantSplit/>
        </w:trPr>
        <w:tc>
          <w:tcPr>
            <w:tcW w:type="dxa" w:w="2160"/>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Alcance equitativo</w:t>
            </w:r>
          </w:p>
        </w:tc>
        <w:tc>
          <w:tcPr>
            <w:tcW w:type="dxa" w:w="388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Participação, compreensão e abandono por grupos</w:t>
            </w:r>
          </w:p>
        </w:tc>
        <w:tc>
          <w:tcPr>
            <w:tcW w:type="dxa" w:w="3802"/>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Representatividade populacional em amostra de conveniência</w:t>
            </w:r>
          </w:p>
        </w:tc>
      </w:tr>
    </w:tbl>
    <w:p>
      <w:pPr>
        <w:spacing w:after="0"/>
      </w:pPr>
    </w:p>
    <w:p>
      <w:pPr>
        <w:pStyle w:val="Heading2"/>
      </w:pPr>
      <w:r>
        <w:rPr>
          <w:lang w:val="pt-BR"/>
        </w:rPr>
        <w:t>Critérios de decisão</w:t>
      </w:r>
    </w:p>
    <w:p>
      <w:r>
        <w:rPr>
          <w:lang w:val="pt-BR"/>
        </w:rPr>
        <w:t>Antes da coleta, definir um desfecho primário de aprendizagem e critérios de aceitabilidade. Por exemplo, a equipe pode escolher a proporção de participantes capazes de distinguir exposição publicitária de promessa de ganho e identificar um canal oficial de cuidado. O limiar de sucesso deve ser justificado previamente, sem ser ajustado depois para produzir resultado favorável.</w:t>
      </w:r>
    </w:p>
    <w:p>
      <w:r>
        <w:rPr>
          <w:lang w:val="pt-BR"/>
        </w:rPr>
        <w:t>Se houver aumento de conhecimento acompanhado de maior interesse em apostar, a intervenção deve ser revista. Se o conteúdo for compreendido, mas os canais forem inacessíveis, a resposta necessária envolve articulação de serviços. Se apenas o grupo com maior escolaridade melhorar, o problema pode estar na linguagem ou no formato.</w:t>
      </w:r>
    </w:p>
    <w:p>
      <w:r>
        <w:rPr>
          <w:lang w:val="pt-BR"/>
        </w:rPr>
        <w:t>A decisão sobre expansão deve combinar resultados, efeitos adversos, alcance e custo. Impressões positivas dos participantes podem complementar a avaliação, mas não substituem medidas coerentes com os objetivos.</w:t>
      </w:r>
    </w:p>
    <w:p>
      <w:r>
        <w:rPr>
          <w:lang w:val="pt-BR"/>
        </w:rPr>
        <w:br w:type="page"/>
      </w:r>
    </w:p>
    <w:p>
      <w:pPr>
        <w:pStyle w:val="Heading1"/>
      </w:pPr>
      <w:r>
        <w:rPr>
          <w:lang w:val="pt-BR"/>
        </w:rPr>
        <w:t>15 Instrumento exploratório e roteiro de entrevista</w:t>
      </w:r>
    </w:p>
    <w:p>
      <w:r>
        <w:rPr>
          <w:lang w:val="pt-BR"/>
        </w:rPr>
      </w:r>
      <w:r>
        <w:rPr>
          <w:b/>
          <w:lang w:val="pt-BR"/>
        </w:rPr>
        <w:t>Questionário inicial para adultos.</w:t>
      </w:r>
      <w:r>
        <w:rPr>
          <w:lang w:val="pt-BR"/>
        </w:rPr>
        <w:t xml:space="preserve"> Instrumento autoral proposto para pré-teste; não validado e sem finalidade diagnóstica. Todas as perguntas admitem “prefiro não responder”. Definir “aposta” e o período de referência antes da aplicação. Não somar as respostas como índice de dependência.</w:t>
      </w:r>
    </w:p>
    <w:p>
      <w:r>
        <w:rPr>
          <w:lang w:val="pt-BR"/>
        </w:rPr>
      </w:r>
      <w:r>
        <w:rPr>
          <w:b/>
          <w:lang w:val="pt-BR"/>
        </w:rPr>
        <w:t>1 Qual sua faixa etária?</w:t>
      </w:r>
      <w:r>
        <w:rPr>
          <w:lang w:val="pt-BR"/>
        </w:rPr>
        <w:t xml:space="preserve"> 18 a 24; 25 a 34; 35 a 44; 45 a 59; 60 anos ou mais.</w:t>
      </w:r>
    </w:p>
    <w:p>
      <w:r>
        <w:rPr>
          <w:lang w:val="pt-BR"/>
        </w:rPr>
      </w:r>
      <w:r>
        <w:rPr>
          <w:b/>
          <w:lang w:val="pt-BR"/>
        </w:rPr>
        <w:t>2 Qual sua relação com o tema?</w:t>
      </w:r>
      <w:r>
        <w:rPr>
          <w:lang w:val="pt-BR"/>
        </w:rPr>
        <w:t xml:space="preserve"> Nunca apostou; apostou anteriormente; apostou nos últimos 30 dias; familiar de pessoa afetada; atuação profissional. Permitir múltiplas respostas compatíveis.</w:t>
      </w:r>
    </w:p>
    <w:p>
      <w:r>
        <w:rPr>
          <w:lang w:val="pt-BR"/>
        </w:rPr>
      </w:r>
      <w:r>
        <w:rPr>
          <w:b/>
          <w:lang w:val="pt-BR"/>
        </w:rPr>
        <w:t>3 Nos últimos 30 dias, com que frequência viu divulgação de apostas?</w:t>
      </w:r>
      <w:r>
        <w:rPr>
          <w:lang w:val="pt-BR"/>
        </w:rPr>
        <w:t xml:space="preserve"> Nunca; menos de uma vez por semana; semanalmente; diariamente; não lembra.</w:t>
      </w:r>
    </w:p>
    <w:p>
      <w:r>
        <w:rPr>
          <w:lang w:val="pt-BR"/>
        </w:rPr>
      </w:r>
      <w:r>
        <w:rPr>
          <w:b/>
          <w:lang w:val="pt-BR"/>
        </w:rPr>
        <w:t>4 Onde viu essa divulgação?</w:t>
      </w:r>
      <w:r>
        <w:rPr>
          <w:lang w:val="pt-BR"/>
        </w:rPr>
        <w:t xml:space="preserve"> Redes sociais; vídeos ou transmissões; conteúdo esportivo; mensagens privadas ou grupos; outros; não se aplica.</w:t>
      </w:r>
    </w:p>
    <w:p>
      <w:r>
        <w:rPr>
          <w:lang w:val="pt-BR"/>
        </w:rPr>
      </w:r>
      <w:r>
        <w:rPr>
          <w:b/>
          <w:lang w:val="pt-BR"/>
        </w:rPr>
        <w:t>5 Você conseguiu perceber quando havia interesse comercial?</w:t>
      </w:r>
      <w:r>
        <w:rPr>
          <w:lang w:val="pt-BR"/>
        </w:rPr>
        <w:t xml:space="preserve"> Sempre; na maioria das vezes; poucas vezes; nunca; não sabe; não se aplica.</w:t>
      </w:r>
    </w:p>
    <w:p>
      <w:r>
        <w:rPr>
          <w:lang w:val="pt-BR"/>
        </w:rPr>
      </w:r>
      <w:r>
        <w:rPr>
          <w:b/>
          <w:lang w:val="pt-BR"/>
        </w:rPr>
        <w:t>6 Nos últimos 30 dias, despesas essenciais foram afetadas por apostas suas ou no domicílio?</w:t>
      </w:r>
      <w:r>
        <w:rPr>
          <w:lang w:val="pt-BR"/>
        </w:rPr>
        <w:t xml:space="preserve"> Não; sim; não sabe. Se desejar, indicar categoria sem informar valores ou nomes.</w:t>
      </w:r>
    </w:p>
    <w:p>
      <w:r>
        <w:rPr>
          <w:lang w:val="pt-BR"/>
        </w:rPr>
      </w:r>
      <w:r>
        <w:rPr>
          <w:b/>
          <w:lang w:val="pt-BR"/>
        </w:rPr>
        <w:t>7 No mesmo período, houve prejuízo percebido em sono, trabalho, estudo ou relações?</w:t>
      </w:r>
      <w:r>
        <w:rPr>
          <w:lang w:val="pt-BR"/>
        </w:rPr>
        <w:t xml:space="preserve"> Não; sim; não sabe. Categorias opcionais; não exigir relato detalhado.</w:t>
      </w:r>
    </w:p>
    <w:p>
      <w:r>
        <w:rPr>
          <w:lang w:val="pt-BR"/>
        </w:rPr>
      </w:r>
      <w:r>
        <w:rPr>
          <w:b/>
          <w:lang w:val="pt-BR"/>
        </w:rPr>
        <w:t>8 Você tentou reduzir ou interromper apostas nesse período?</w:t>
      </w:r>
      <w:r>
        <w:rPr>
          <w:lang w:val="pt-BR"/>
        </w:rPr>
        <w:t xml:space="preserve"> Não houve necessidade; não tentou; tentou e conseguiu; tentou e encontrou dificuldade; não se aplica.</w:t>
      </w:r>
    </w:p>
    <w:p>
      <w:r>
        <w:rPr>
          <w:lang w:val="pt-BR"/>
        </w:rPr>
      </w:r>
      <w:r>
        <w:rPr>
          <w:b/>
          <w:lang w:val="pt-BR"/>
        </w:rPr>
        <w:t>9 Sabe onde buscar apoio público para problemas relacionados a apostas?</w:t>
      </w:r>
      <w:r>
        <w:rPr>
          <w:lang w:val="pt-BR"/>
        </w:rPr>
        <w:t xml:space="preserve"> Sim e consegue indicar; conhece de nome; não conhece. Não corrigir antes do pós-teste.</w:t>
      </w:r>
    </w:p>
    <w:p>
      <w:r>
        <w:rPr>
          <w:lang w:val="pt-BR"/>
        </w:rPr>
      </w:r>
      <w:r>
        <w:rPr>
          <w:b/>
          <w:lang w:val="pt-BR"/>
        </w:rPr>
        <w:t>10 Procurou apoio nos últimos 30 dias?</w:t>
      </w:r>
      <w:r>
        <w:rPr>
          <w:lang w:val="pt-BR"/>
        </w:rPr>
        <w:t xml:space="preserve"> Não precisou; precisou mas não procurou; procurou e não conseguiu; recebeu apoio. Explorar barreiras opcionalmente.</w:t>
      </w:r>
    </w:p>
    <w:p>
      <w:r>
        <w:rPr>
          <w:lang w:val="pt-BR"/>
        </w:rPr>
      </w:r>
      <w:r>
        <w:rPr>
          <w:b/>
          <w:lang w:val="pt-BR"/>
        </w:rPr>
        <w:t>11 Uma autorização antiga ou um cadeado no navegador garantem ausência de risco?</w:t>
      </w:r>
      <w:r>
        <w:rPr>
          <w:lang w:val="pt-BR"/>
        </w:rPr>
        <w:t xml:space="preserve"> Sim; não; não sabe. Resposta esperada: não.</w:t>
      </w:r>
    </w:p>
    <w:p>
      <w:r>
        <w:rPr>
          <w:lang w:val="pt-BR"/>
        </w:rPr>
      </w:r>
      <w:r>
        <w:rPr>
          <w:b/>
          <w:lang w:val="pt-BR"/>
        </w:rPr>
        <w:t>12 Dados coletados para proteção podem ser reutilizados livremente em publicidade?</w:t>
      </w:r>
      <w:r>
        <w:rPr>
          <w:lang w:val="pt-BR"/>
        </w:rPr>
        <w:t xml:space="preserve"> Sim; não; não sabe. Resposta esperada: não.</w:t>
      </w:r>
    </w:p>
    <w:p>
      <w:pPr>
        <w:pStyle w:val="Heading2"/>
      </w:pPr>
      <w:r>
        <w:rPr>
          <w:lang w:val="pt-BR"/>
        </w:rPr>
        <w:t>Roteiro qualitativo</w:t>
      </w:r>
    </w:p>
    <w:p>
      <w:r>
        <w:rPr>
          <w:lang w:val="pt-BR"/>
        </w:rPr>
        <w:t>Explorar quatro questões: como o contato com apostas entrou no cotidiano; quais características facilitaram continuidade ou interrupção; quais consequências foram percebidas e em que sequência; e o que facilitou ou dificultou buscar apoio. Encerrar oferecendo fontes públicas de orientação e espaço para comentários voluntários.</w:t>
      </w:r>
    </w:p>
    <w:p>
      <w:r>
        <w:rPr>
          <w:lang w:val="pt-BR"/>
        </w:rPr>
        <w:br w:type="page"/>
      </w:r>
    </w:p>
    <w:p>
      <w:pPr>
        <w:pStyle w:val="Heading1"/>
      </w:pPr>
      <w:r>
        <w:rPr>
          <w:lang w:val="pt-BR"/>
        </w:rPr>
        <w:t>16 Recomendações editoriais e plano de continuidade</w:t>
      </w:r>
    </w:p>
    <w:p>
      <w:pPr>
        <w:pStyle w:val="Heading2"/>
      </w:pPr>
      <w:r>
        <w:rPr>
          <w:lang w:val="pt-BR"/>
        </w:rPr>
        <w:t>Prioridades para a próxima edição</w:t>
      </w:r>
    </w:p>
    <w:p>
      <w:r>
        <w:rPr>
          <w:lang w:val="pt-BR"/>
        </w:rPr>
        <w:t>A pesquisa recomenda abrir a próxima edição com seu objetivo educativo e a data de atualização normativa. É necessário revisar trechos que orientavam cadastro, escolha de domínio e participação em plataformas autorizadas, diante da transição descrita nas fontes de setembro e outubro. Conteúdos conceituais podem permanecer, desde que o leitor reconheça o que é histórico e o que é orientação atual.</w:t>
      </w:r>
    </w:p>
    <w:p>
      <w:r>
        <w:rPr>
          <w:lang w:val="pt-BR"/>
        </w:rPr>
        <w:t>Propõe-se ampliar o espaço dedicado a danos sobre terceiros, efeitos do desenho do produto, publicidade por influenciadores, diferenças entre jogos e apostas, uso de dados e busca de cuidado. A revisão pode manter linguagem acessível e personagens adultos, sem usar cenas de ganho, demonstrações de aposta ou promessa de segurança.</w:t>
      </w:r>
    </w:p>
    <w:p>
      <w:r>
        <w:rPr>
          <w:lang w:val="pt-BR"/>
        </w:rPr>
        <w:t>Os termos “jogo responsável” e “escolha consciente” devem vir acompanhados de explicação sobre deveres institucionais e limites da informação individual. Não devem sugerir que toda consequência seja falha de disciplina. Expressões que minimizem prejuízos ou apresentem a atividade como fonte de renda também precisam ser examinadas.</w:t>
      </w:r>
    </w:p>
    <w:p>
      <w:pPr>
        <w:pStyle w:val="Heading2"/>
      </w:pPr>
      <w:r>
        <w:rPr>
          <w:lang w:val="pt-BR"/>
        </w:rPr>
        <w:t>Sequência proposta de trabalho</w:t>
      </w:r>
    </w:p>
    <w:tbl>
      <w:tblPr>
        <w:tblW w:type="auto" w:w="0"/>
        <w:jc w:val="center"/>
        <w:tblLayout w:type="fixed"/>
        <w:tblLook w:firstColumn="1" w:firstRow="1" w:lastColumn="0" w:lastRow="0" w:noHBand="0" w:noVBand="1" w:val="04A0"/>
      </w:tblPr>
      <w:tblGrid>
        <w:gridCol w:w="1987"/>
        <w:gridCol w:w="3859"/>
        <w:gridCol w:w="4003"/>
      </w:tblGrid>
      <w:tr>
        <w:trPr>
          <w:tblHeader/>
          <w:cantSplit/>
        </w:trPr>
        <w:tc>
          <w:tcPr>
            <w:tcW w:type="dxa" w:w="198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Etapa</w:t>
            </w:r>
          </w:p>
        </w:tc>
        <w:tc>
          <w:tcPr>
            <w:tcW w:type="dxa" w:w="385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Entrega concreta</w:t>
            </w:r>
          </w:p>
        </w:tc>
        <w:tc>
          <w:tcPr>
            <w:tcW w:type="dxa" w:w="400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16354A"/>
          </w:tcPr>
          <w:p>
            <w:pPr>
              <w:spacing w:after="40" w:line="240" w:lineRule="auto"/>
            </w:pPr>
            <w:r>
              <w:rPr>
                <w:b/>
                <w:color w:val="FFFFFF"/>
                <w:sz w:val="20"/>
              </w:rPr>
              <w:t>Condição para avançar</w:t>
            </w:r>
          </w:p>
        </w:tc>
      </w:tr>
      <w:tr>
        <w:trPr>
          <w:cantSplit/>
        </w:trPr>
        <w:tc>
          <w:tcPr>
            <w:tcW w:type="dxa" w:w="198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Atualização documental</w:t>
            </w:r>
          </w:p>
        </w:tc>
        <w:tc>
          <w:tcPr>
            <w:tcW w:type="dxa" w:w="385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Quadro das mudanças legais e dos trechos educativos afetados</w:t>
            </w:r>
          </w:p>
        </w:tc>
        <w:tc>
          <w:tcPr>
            <w:tcW w:type="dxa" w:w="400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Conferência das normas e decisões vigentes na data da nova publicação</w:t>
            </w:r>
          </w:p>
        </w:tc>
      </w:tr>
      <w:tr>
        <w:trPr>
          <w:cantSplit/>
        </w:trPr>
        <w:tc>
          <w:tcPr>
            <w:tcW w:type="dxa" w:w="198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Revisão científica</w:t>
            </w:r>
          </w:p>
        </w:tc>
        <w:tc>
          <w:tcPr>
            <w:tcW w:type="dxa" w:w="385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Texto acessível com referência por afirmação relevante</w:t>
            </w:r>
          </w:p>
        </w:tc>
        <w:tc>
          <w:tcPr>
            <w:tcW w:type="dxa" w:w="400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Verificação de denominadores, causalidade e limites de cada estudo</w:t>
            </w:r>
          </w:p>
        </w:tc>
      </w:tr>
      <w:tr>
        <w:trPr>
          <w:cantSplit/>
        </w:trPr>
        <w:tc>
          <w:tcPr>
            <w:tcW w:type="dxa" w:w="198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Preparação do campo</w:t>
            </w:r>
          </w:p>
        </w:tc>
        <w:tc>
          <w:tcPr>
            <w:tcW w:type="dxa" w:w="385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Protocolo, consentimento, questionário e fluxo de apoio</w:t>
            </w:r>
          </w:p>
        </w:tc>
        <w:tc>
          <w:tcPr>
            <w:tcW w:type="dxa" w:w="400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Responsável definido e avaliação ética aplicável concluída</w:t>
            </w:r>
          </w:p>
        </w:tc>
      </w:tr>
      <w:tr>
        <w:trPr>
          <w:cantSplit/>
        </w:trPr>
        <w:tc>
          <w:tcPr>
            <w:tcW w:type="dxa" w:w="198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Piloto</w:t>
            </w:r>
          </w:p>
        </w:tc>
        <w:tc>
          <w:tcPr>
            <w:tcW w:type="dxa" w:w="385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Registro de compreensão, desconforto e tempo de resposta</w:t>
            </w:r>
          </w:p>
        </w:tc>
        <w:tc>
          <w:tcPr>
            <w:tcW w:type="dxa" w:w="400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2F5F7"/>
          </w:tcPr>
          <w:p>
            <w:pPr>
              <w:spacing w:after="40" w:line="240" w:lineRule="auto"/>
            </w:pPr>
            <w:r>
              <w:rPr>
                <w:sz w:val="20"/>
              </w:rPr>
              <w:t>Correções documentadas antes da coleta ampliada</w:t>
            </w:r>
          </w:p>
        </w:tc>
      </w:tr>
      <w:tr>
        <w:trPr>
          <w:cantSplit/>
        </w:trPr>
        <w:tc>
          <w:tcPr>
            <w:tcW w:type="dxa" w:w="1987"/>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Avaliação e divulgação</w:t>
            </w:r>
          </w:p>
        </w:tc>
        <w:tc>
          <w:tcPr>
            <w:tcW w:type="dxa" w:w="3859"/>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Relatório com achados, limitações e materiais revisados</w:t>
            </w:r>
          </w:p>
        </w:tc>
        <w:tc>
          <w:tcPr>
            <w:tcW w:type="dxa" w:w="4003"/>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FFFFF"/>
          </w:tcPr>
          <w:p>
            <w:pPr>
              <w:spacing w:after="40" w:line="240" w:lineRule="auto"/>
            </w:pPr>
            <w:r>
              <w:rPr>
                <w:sz w:val="20"/>
              </w:rPr>
              <w:t>Resultados realmente coletados e preservação da privacidade</w:t>
            </w:r>
          </w:p>
        </w:tc>
      </w:tr>
    </w:tbl>
    <w:p>
      <w:pPr>
        <w:spacing w:after="0"/>
      </w:pPr>
    </w:p>
    <w:p>
      <w:pPr>
        <w:pStyle w:val="Heading2"/>
      </w:pPr>
      <w:r>
        <w:rPr>
          <w:lang w:val="pt-BR"/>
        </w:rPr>
        <w:t>Conclusão analítica</w:t>
      </w:r>
    </w:p>
    <w:p>
      <w:r>
        <w:rPr>
          <w:lang w:val="pt-BR"/>
        </w:rPr>
        <w:t>O aprofundamento de Educando para o Jogo deve avaliar a capacidade de proteção existente em torno da pessoa, além da informação que ela recebe. O eixo proposto relaciona produto, divulgação, condições sociais, dados e cuidado. Ele permite perguntar quem pode intervir em cada mecanismo e quais evidências mostram que a intervenção funcionou.</w:t>
      </w:r>
    </w:p>
    <w:p>
      <w:r>
        <w:rPr>
          <w:lang w:val="pt-BR"/>
        </w:rPr>
        <w:t>A mudança normativa de 2026 acrescenta um campo de investigação sobre encerramento, restituição e exposição residual. A resposta científica deve acompanhar esses processos com medidas comparáveis e independentes. A cartilha pode apoiar essa agenda se sua efetividade for testada e se suas orientações forem atualizadas sem transformar hipóteses em fatos ou mensagens preventivas em garantias.</w:t>
      </w:r>
    </w:p>
    <w:p>
      <w:r>
        <w:rPr>
          <w:lang w:val="pt-BR"/>
        </w:rPr>
        <w:br w:type="page"/>
      </w:r>
    </w:p>
    <w:p>
      <w:pPr>
        <w:pStyle w:val="Heading1"/>
      </w:pPr>
      <w:r>
        <w:rPr>
          <w:lang w:val="pt-BR"/>
        </w:rPr>
        <w:t>17 Glossário de termos e abreviações</w:t>
      </w:r>
    </w:p>
    <w:p>
      <w:r>
        <w:rPr>
          <w:lang w:val="pt-BR"/>
        </w:rPr>
      </w:r>
      <w:r>
        <w:rPr>
          <w:b/>
          <w:lang w:val="pt-BR"/>
        </w:rPr>
        <w:t>Aposta de quota fixa.</w:t>
      </w:r>
      <w:r>
        <w:rPr>
          <w:lang w:val="pt-BR"/>
        </w:rPr>
        <w:t xml:space="preserve"> Modalidade em que o prêmio é definido por fator de multiplicação do valor colocado em risco; observar o alcance jurídico da norma vigente.</w:t>
      </w:r>
    </w:p>
    <w:p>
      <w:r>
        <w:rPr>
          <w:lang w:val="pt-BR"/>
        </w:rPr>
      </w:r>
      <w:r>
        <w:rPr>
          <w:b/>
          <w:lang w:val="pt-BR"/>
        </w:rPr>
        <w:t>Associação e causalidade.</w:t>
      </w:r>
      <w:r>
        <w:rPr>
          <w:lang w:val="pt-BR"/>
        </w:rPr>
        <w:t xml:space="preserve"> Associação é variação conjunta entre características. Causalidade exige evidência de que modificar uma produz mudança na outra, considerando explicações alternativas.</w:t>
      </w:r>
    </w:p>
    <w:p>
      <w:r>
        <w:rPr>
          <w:lang w:val="pt-BR"/>
        </w:rPr>
      </w:r>
      <w:r>
        <w:rPr>
          <w:b/>
          <w:lang w:val="pt-BR"/>
        </w:rPr>
        <w:t>ANPD.</w:t>
      </w:r>
      <w:r>
        <w:rPr>
          <w:lang w:val="pt-BR"/>
        </w:rPr>
        <w:t xml:space="preserve"> Autoridade brasileira de proteção de dados pessoais, referida nos documentos normativos consultados.</w:t>
      </w:r>
    </w:p>
    <w:p>
      <w:r>
        <w:rPr>
          <w:lang w:val="pt-BR"/>
        </w:rPr>
      </w:r>
      <w:r>
        <w:rPr>
          <w:b/>
          <w:lang w:val="pt-BR"/>
        </w:rPr>
        <w:t>Biometria.</w:t>
      </w:r>
      <w:r>
        <w:rPr>
          <w:lang w:val="pt-BR"/>
        </w:rPr>
        <w:t xml:space="preserve"> Características físicas ou comportamentais utilizadas para reconhecimento ou identificação. Quando vinculadas a pessoa natural, são dados sensíveis na LGPD.</w:t>
      </w:r>
    </w:p>
    <w:p>
      <w:r>
        <w:rPr>
          <w:lang w:val="pt-BR"/>
        </w:rPr>
      </w:r>
      <w:r>
        <w:rPr>
          <w:b/>
          <w:lang w:val="pt-BR"/>
        </w:rPr>
        <w:t>CAPS.</w:t>
      </w:r>
      <w:r>
        <w:rPr>
          <w:lang w:val="pt-BR"/>
        </w:rPr>
        <w:t xml:space="preserve"> Centro de Atenção Psicossocial, serviço integrante da rede pública de cuidado em saúde mental.</w:t>
      </w:r>
    </w:p>
    <w:p>
      <w:r>
        <w:rPr>
          <w:lang w:val="pt-BR"/>
        </w:rPr>
      </w:r>
      <w:r>
        <w:rPr>
          <w:b/>
          <w:lang w:val="pt-BR"/>
        </w:rPr>
        <w:t>Desfecho.</w:t>
      </w:r>
      <w:r>
        <w:rPr>
          <w:lang w:val="pt-BR"/>
        </w:rPr>
        <w:t xml:space="preserve"> Resultado definido para avaliação, como aprendizagem, acesso ao cuidado ou comprometimento de despesas essenciais.</w:t>
      </w:r>
    </w:p>
    <w:p>
      <w:r>
        <w:rPr>
          <w:lang w:val="pt-BR"/>
        </w:rPr>
      </w:r>
      <w:r>
        <w:rPr>
          <w:b/>
          <w:lang w:val="pt-BR"/>
        </w:rPr>
        <w:t>ECA Digital.</w:t>
      </w:r>
      <w:r>
        <w:rPr>
          <w:lang w:val="pt-BR"/>
        </w:rPr>
        <w:t xml:space="preserve"> Estatuto Digital da Criança e do Adolescente, instituído pela Lei nº 15.211/2025.</w:t>
      </w:r>
    </w:p>
    <w:p>
      <w:r>
        <w:rPr>
          <w:lang w:val="pt-BR"/>
        </w:rPr>
      </w:r>
      <w:r>
        <w:rPr>
          <w:b/>
          <w:lang w:val="pt-BR"/>
        </w:rPr>
        <w:t>Falso positivo e falso negativo.</w:t>
      </w:r>
      <w:r>
        <w:rPr>
          <w:lang w:val="pt-BR"/>
        </w:rPr>
        <w:t xml:space="preserve"> Indicação de risco quando ele não está presente, no primeiro caso, ou falha em reconhecer risco que existe, no segundo.</w:t>
      </w:r>
    </w:p>
    <w:p>
      <w:r>
        <w:rPr>
          <w:lang w:val="pt-BR"/>
        </w:rPr>
      </w:r>
      <w:r>
        <w:rPr>
          <w:b/>
          <w:lang w:val="pt-BR"/>
        </w:rPr>
        <w:t>IC95%.</w:t>
      </w:r>
      <w:r>
        <w:rPr>
          <w:lang w:val="pt-BR"/>
        </w:rPr>
        <w:t xml:space="preserve"> Intervalo de confiança de 95%, medida de incerteza estatística associada à estimativa e ao método utilizado.</w:t>
      </w:r>
    </w:p>
    <w:p>
      <w:r>
        <w:rPr>
          <w:lang w:val="pt-BR"/>
        </w:rPr>
      </w:r>
      <w:r>
        <w:rPr>
          <w:b/>
          <w:lang w:val="pt-BR"/>
        </w:rPr>
        <w:t>LGPD.</w:t>
      </w:r>
      <w:r>
        <w:rPr>
          <w:lang w:val="pt-BR"/>
        </w:rPr>
        <w:t xml:space="preserve"> Lei Geral de Proteção de Dados Pessoais, Lei nº 13.709/2018.</w:t>
      </w:r>
    </w:p>
    <w:p>
      <w:r>
        <w:rPr>
          <w:lang w:val="pt-BR"/>
        </w:rPr>
      </w:r>
      <w:r>
        <w:rPr>
          <w:b/>
          <w:lang w:val="pt-BR"/>
        </w:rPr>
        <w:t>Loot box.</w:t>
      </w:r>
      <w:r>
        <w:rPr>
          <w:lang w:val="pt-BR"/>
        </w:rPr>
        <w:t xml:space="preserve"> Caixa de recompensa com conteúdo aleatório em jogo eletrônico. Seu enquadramento requer considerar funcionalidade e regras aplicáveis.</w:t>
      </w:r>
    </w:p>
    <w:p>
      <w:r>
        <w:rPr>
          <w:lang w:val="pt-BR"/>
        </w:rPr>
      </w:r>
      <w:r>
        <w:rPr>
          <w:b/>
          <w:lang w:val="pt-BR"/>
        </w:rPr>
        <w:t>Metanálise.</w:t>
      </w:r>
      <w:r>
        <w:rPr>
          <w:lang w:val="pt-BR"/>
        </w:rPr>
        <w:t xml:space="preserve"> Síntese estatística de resultados de estudos distintos, dependente da comparabilidade e da qualidade dos dados incluídos.</w:t>
      </w:r>
    </w:p>
    <w:p>
      <w:r>
        <w:rPr>
          <w:lang w:val="pt-BR"/>
        </w:rPr>
      </w:r>
      <w:r>
        <w:rPr>
          <w:b/>
          <w:lang w:val="pt-BR"/>
        </w:rPr>
        <w:t>MP.</w:t>
      </w:r>
      <w:r>
        <w:rPr>
          <w:lang w:val="pt-BR"/>
        </w:rPr>
        <w:t xml:space="preserve"> Medida provisória, ato normativo sujeito às regras constitucionais de vigência e apreciação legislativa.</w:t>
      </w:r>
    </w:p>
    <w:p>
      <w:r>
        <w:rPr>
          <w:lang w:val="pt-BR"/>
        </w:rPr>
      </w:r>
      <w:r>
        <w:rPr>
          <w:b/>
          <w:lang w:val="pt-BR"/>
        </w:rPr>
        <w:t>Odds.</w:t>
      </w:r>
      <w:r>
        <w:rPr>
          <w:lang w:val="pt-BR"/>
        </w:rPr>
        <w:t xml:space="preserve"> Fator de pagamento oferecido para a aposta. Não representa garantia de ganho nem necessariamente uma probabilidade real sem margem.</w:t>
      </w:r>
    </w:p>
    <w:p>
      <w:r>
        <w:rPr>
          <w:lang w:val="pt-BR"/>
        </w:rPr>
      </w:r>
      <w:r>
        <w:rPr>
          <w:b/>
          <w:lang w:val="pt-BR"/>
        </w:rPr>
        <w:t>Perfilamento.</w:t>
      </w:r>
      <w:r>
        <w:rPr>
          <w:lang w:val="pt-BR"/>
        </w:rPr>
        <w:t xml:space="preserve"> Tratamento de dados para inferir ou classificar características, interesses ou comportamentos de uma pessoa.</w:t>
      </w:r>
    </w:p>
    <w:p>
      <w:r>
        <w:rPr>
          <w:lang w:val="pt-BR"/>
        </w:rPr>
      </w:r>
      <w:r>
        <w:rPr>
          <w:b/>
          <w:lang w:val="pt-BR"/>
        </w:rPr>
        <w:t>Quase acerto ou near miss.</w:t>
      </w:r>
      <w:r>
        <w:rPr>
          <w:lang w:val="pt-BR"/>
        </w:rPr>
        <w:t xml:space="preserve"> Resultado perdedor apresentado como próximo de um resultado vencedor, podendo gerar resposta distinta de outra perda equivalente.</w:t>
      </w:r>
    </w:p>
    <w:p>
      <w:r>
        <w:rPr>
          <w:lang w:val="pt-BR"/>
        </w:rPr>
      </w:r>
      <w:r>
        <w:rPr>
          <w:b/>
          <w:lang w:val="pt-BR"/>
        </w:rPr>
        <w:t>RAPS.</w:t>
      </w:r>
      <w:r>
        <w:rPr>
          <w:lang w:val="pt-BR"/>
        </w:rPr>
        <w:t xml:space="preserve"> Rede de Atenção Psicossocial, que articula pontos de cuidado no SUS.</w:t>
      </w:r>
    </w:p>
    <w:p>
      <w:r>
        <w:rPr>
          <w:lang w:val="pt-BR"/>
        </w:rPr>
      </w:r>
      <w:r>
        <w:rPr>
          <w:b/>
          <w:lang w:val="pt-BR"/>
        </w:rPr>
        <w:t>SPA e SIGAP.</w:t>
      </w:r>
      <w:r>
        <w:rPr>
          <w:lang w:val="pt-BR"/>
        </w:rPr>
        <w:t xml:space="preserve"> Secretaria de Prêmios e Apostas e Sistema de Gestão de Apostas, respectivamente.</w:t>
      </w:r>
    </w:p>
    <w:p>
      <w:r>
        <w:rPr>
          <w:lang w:val="pt-BR"/>
        </w:rPr>
      </w:r>
      <w:r>
        <w:rPr>
          <w:b/>
          <w:lang w:val="pt-BR"/>
        </w:rPr>
        <w:t>UBS e SUS.</w:t>
      </w:r>
      <w:r>
        <w:rPr>
          <w:lang w:val="pt-BR"/>
        </w:rPr>
        <w:t xml:space="preserve"> Unidade Básica de Saúde e Sistema Único de Saúde.</w:t>
      </w:r>
    </w:p>
    <w:p>
      <w:r>
        <w:rPr>
          <w:lang w:val="pt-BR"/>
        </w:rPr>
      </w:r>
      <w:r>
        <w:rPr>
          <w:b/>
          <w:lang w:val="pt-BR"/>
        </w:rPr>
        <w:t>Viés de seleção.</w:t>
      </w:r>
      <w:r>
        <w:rPr>
          <w:lang w:val="pt-BR"/>
        </w:rPr>
        <w:t xml:space="preserve"> Distorção decorrente de como participantes são incluídos, que pode limitar comparação e generalização.</w:t>
      </w:r>
    </w:p>
    <w:p>
      <w:r>
        <w:rPr>
          <w:lang w:val="pt-BR"/>
        </w:rPr>
        <w:br w:type="page"/>
      </w:r>
    </w:p>
    <w:p>
      <w:pPr>
        <w:pStyle w:val="Heading1"/>
      </w:pPr>
      <w:r>
        <w:rPr>
          <w:lang w:val="pt-BR"/>
        </w:rPr>
        <w:t>18 Referências e fontes documentais</w:t>
      </w:r>
    </w:p>
    <w:p>
      <w:r>
        <w:rPr>
          <w:lang w:val="pt-BR"/>
        </w:rPr>
        <w:t>Fontes eletrônicas consultadas em 13 de outubro de 2026. Numeração correspondente às citações no texto. A seleção distingue estudos, sínteses científicas, dados oficiais e documentos normativos. Os links abrem as fontes de consulta.</w:t>
      </w:r>
    </w:p>
    <w:p>
      <w:pPr>
        <w:keepLines/>
      </w:pPr>
      <w:r>
        <w:rPr>
          <w:lang w:val="pt-BR"/>
        </w:rPr>
        <w:t>[1] WORLD HEALTH ORGANIZATION. Gambling. Fact sheet, 2 dez. 2024.</w:t>
      </w:r>
      <w:r>
        <w:rPr>
          <w:lang w:val="pt-BR"/>
        </w:rPr>
        <w:t xml:space="preserve"> </w:t>
      </w:r>
      <w:hyperlink r:id="rId10">
        <w:r>
          <w:rPr>
            <w:color w:val="164B70"/>
            <w:u w:val="single"/>
          </w:rPr>
          <w:t>Consultar fonte</w:t>
        </w:r>
      </w:hyperlink>
    </w:p>
    <w:p>
      <w:pPr>
        <w:keepLines/>
      </w:pPr>
      <w:r>
        <w:rPr>
          <w:lang w:val="pt-BR"/>
        </w:rPr>
        <w:t>[2] WARDLE, H. et al. The Lancet Public Health Commission on gambling. The Lancet Public Health, 2024. DOI 10.1016/S2468-2667(24)00167-1.</w:t>
      </w:r>
      <w:r>
        <w:rPr>
          <w:lang w:val="pt-BR"/>
        </w:rPr>
        <w:t xml:space="preserve"> </w:t>
      </w:r>
      <w:hyperlink r:id="rId11">
        <w:r>
          <w:rPr>
            <w:color w:val="164B70"/>
            <w:u w:val="single"/>
          </w:rPr>
          <w:t>Consultar fonte</w:t>
        </w:r>
      </w:hyperlink>
    </w:p>
    <w:p>
      <w:pPr>
        <w:keepLines/>
      </w:pPr>
      <w:r>
        <w:rPr>
          <w:lang w:val="pt-BR"/>
        </w:rPr>
        <w:t>[3] TRAN, L. T. et al. The prevalence of gambling and problematic gambling: a systematic review and meta-analysis. The Lancet Public Health, 9(8), e594–e613, 2024. DOI 10.1016/S2468-2667(24)00126-9.</w:t>
      </w:r>
      <w:r>
        <w:rPr>
          <w:lang w:val="pt-BR"/>
        </w:rPr>
        <w:t xml:space="preserve"> </w:t>
      </w:r>
      <w:hyperlink r:id="rId12">
        <w:r>
          <w:rPr>
            <w:color w:val="164B70"/>
            <w:u w:val="single"/>
          </w:rPr>
          <w:t>Consultar fonte</w:t>
        </w:r>
      </w:hyperlink>
    </w:p>
    <w:p>
      <w:pPr>
        <w:keepLines/>
      </w:pPr>
      <w:r>
        <w:rPr>
          <w:lang w:val="pt-BR"/>
        </w:rPr>
        <w:t>[4] MCGRANE, E. et al. What is the evidence that advertising policies could have an impact on gambling-related harms? A systematic umbrella review of the literature. Public Health, 215, 124–130, 2023. DOI 10.1016/j.puhe.2022.11.019.</w:t>
      </w:r>
      <w:r>
        <w:rPr>
          <w:lang w:val="pt-BR"/>
        </w:rPr>
        <w:t xml:space="preserve"> </w:t>
      </w:r>
      <w:hyperlink r:id="rId13">
        <w:r>
          <w:rPr>
            <w:color w:val="164B70"/>
            <w:u w:val="single"/>
          </w:rPr>
          <w:t>Consultar fonte</w:t>
        </w:r>
      </w:hyperlink>
    </w:p>
    <w:p>
      <w:pPr>
        <w:keepLines/>
      </w:pPr>
      <w:r>
        <w:rPr>
          <w:lang w:val="pt-BR"/>
        </w:rPr>
        <w:t>[5] PALMER, L.; FERRARI, M. A.; CLARK, L. The near-miss effect in online slot machine gambling: A series of conceptual replications. Psychology of Addictive Behaviors, 38(6), 716–727, 2024. DOI 10.1037/adb0000999.</w:t>
      </w:r>
      <w:r>
        <w:rPr>
          <w:lang w:val="pt-BR"/>
        </w:rPr>
        <w:t xml:space="preserve"> </w:t>
      </w:r>
      <w:hyperlink r:id="rId14">
        <w:r>
          <w:rPr>
            <w:color w:val="164B70"/>
            <w:u w:val="single"/>
          </w:rPr>
          <w:t>Consultar fonte</w:t>
        </w:r>
      </w:hyperlink>
    </w:p>
    <w:p>
      <w:pPr>
        <w:keepLines/>
      </w:pPr>
      <w:r>
        <w:rPr>
          <w:lang w:val="pt-BR"/>
        </w:rPr>
        <w:t>[6] CETIC.BR | NIC.BR. TIC Kids Online Brasil 2025. Divulgação de resultados sobre usos da Internet e exposição à publicidade, 22 out. 2025.</w:t>
      </w:r>
      <w:r>
        <w:rPr>
          <w:lang w:val="pt-BR"/>
        </w:rPr>
        <w:t xml:space="preserve"> </w:t>
      </w:r>
      <w:hyperlink r:id="rId15">
        <w:r>
          <w:rPr>
            <w:color w:val="164B70"/>
            <w:u w:val="single"/>
          </w:rPr>
          <w:t>Consultar fonte</w:t>
        </w:r>
      </w:hyperlink>
    </w:p>
    <w:p>
      <w:pPr>
        <w:keepLines/>
      </w:pPr>
      <w:r>
        <w:rPr>
          <w:lang w:val="pt-BR"/>
        </w:rPr>
        <w:t>[7] BRASIL. Medida Provisória nº 1.394, de 25 de setembro de 2026. Proibição das atividades de apostas de quota fixa no âmbito nela definido e disposições de transição. Texto oficial.</w:t>
      </w:r>
      <w:r>
        <w:rPr>
          <w:lang w:val="pt-BR"/>
        </w:rPr>
        <w:t xml:space="preserve"> </w:t>
      </w:r>
      <w:hyperlink r:id="rId16">
        <w:r>
          <w:rPr>
            <w:color w:val="164B70"/>
            <w:u w:val="single"/>
          </w:rPr>
          <w:t>Consultar fonte</w:t>
        </w:r>
      </w:hyperlink>
    </w:p>
    <w:p>
      <w:pPr>
        <w:keepLines/>
      </w:pPr>
      <w:r>
        <w:rPr>
          <w:lang w:val="pt-BR"/>
        </w:rPr>
        <w:t>[8] BRASIL. Ministério da Fazenda. Secretaria de Prêmios e Apostas regulamenta obrigações das empresas após proibição das bets. 5 out. 2026. Comunicado sobre a Portaria nº 3.005/2026.</w:t>
      </w:r>
      <w:r>
        <w:rPr>
          <w:lang w:val="pt-BR"/>
        </w:rPr>
        <w:t xml:space="preserve"> </w:t>
      </w:r>
      <w:hyperlink r:id="rId17">
        <w:r>
          <w:rPr>
            <w:color w:val="164B70"/>
            <w:u w:val="single"/>
          </w:rPr>
          <w:t>Consultar fonte</w:t>
        </w:r>
      </w:hyperlink>
    </w:p>
    <w:p>
      <w:pPr>
        <w:keepLines/>
      </w:pPr>
      <w:r>
        <w:rPr>
          <w:lang w:val="pt-BR"/>
        </w:rPr>
        <w:t>[9] BRASIL. Ministério da Fazenda. Bets: prazo para retirada voluntária de recursos termina nesta segunda-feira (5/10). 5 out. 2026. Cronograma oficial.</w:t>
      </w:r>
      <w:r>
        <w:rPr>
          <w:lang w:val="pt-BR"/>
        </w:rPr>
        <w:t xml:space="preserve"> </w:t>
      </w:r>
      <w:hyperlink r:id="rId18">
        <w:r>
          <w:rPr>
            <w:color w:val="164B70"/>
            <w:u w:val="single"/>
          </w:rPr>
          <w:t>Consultar fonte</w:t>
        </w:r>
      </w:hyperlink>
    </w:p>
    <w:p>
      <w:pPr>
        <w:keepLines/>
      </w:pPr>
      <w:r>
        <w:rPr>
          <w:lang w:val="pt-BR"/>
        </w:rPr>
        <w:t>[10] BRASIL. Lei nº 14.790, de 29 de dezembro de 2023. Texto consolidado, com anotações de alterações e revogações.</w:t>
      </w:r>
      <w:r>
        <w:rPr>
          <w:lang w:val="pt-BR"/>
        </w:rPr>
        <w:t xml:space="preserve"> </w:t>
      </w:r>
      <w:hyperlink r:id="rId19">
        <w:r>
          <w:rPr>
            <w:color w:val="164B70"/>
            <w:u w:val="single"/>
          </w:rPr>
          <w:t>Consultar fonte</w:t>
        </w:r>
      </w:hyperlink>
    </w:p>
    <w:p>
      <w:pPr>
        <w:keepLines/>
      </w:pPr>
      <w:r>
        <w:rPr>
          <w:lang w:val="pt-BR"/>
        </w:rPr>
        <w:t>[11] SUPREMO TRIBUNAL FEDERAL. Associações questionam no STF medida provisória que proíbe bets. 28 set. 2026. Notícia institucional sobre o ajuizamento.</w:t>
      </w:r>
      <w:r>
        <w:rPr>
          <w:lang w:val="pt-BR"/>
        </w:rPr>
        <w:t xml:space="preserve"> </w:t>
      </w:r>
      <w:hyperlink r:id="rId20">
        <w:r>
          <w:rPr>
            <w:color w:val="164B70"/>
            <w:u w:val="single"/>
          </w:rPr>
          <w:t>Consultar fonte</w:t>
        </w:r>
      </w:hyperlink>
    </w:p>
    <w:p>
      <w:pPr>
        <w:keepLines/>
      </w:pPr>
      <w:r>
        <w:rPr>
          <w:lang w:val="pt-BR"/>
        </w:rPr>
        <w:t>[12] BRASIL. Lei nº 13.709, de 14 de agosto de 2018. Lei Geral de Proteção de Dados Pessoais. Texto compilado, especialmente arts. 5º, 6º, 11, 14, 16, 18 e 20.</w:t>
      </w:r>
      <w:r>
        <w:rPr>
          <w:lang w:val="pt-BR"/>
        </w:rPr>
        <w:t xml:space="preserve"> </w:t>
      </w:r>
      <w:hyperlink r:id="rId21">
        <w:r>
          <w:rPr>
            <w:color w:val="164B70"/>
            <w:u w:val="single"/>
          </w:rPr>
          <w:t>Consultar fonte</w:t>
        </w:r>
      </w:hyperlink>
    </w:p>
    <w:p>
      <w:pPr>
        <w:keepLines/>
      </w:pPr>
      <w:r>
        <w:rPr>
          <w:lang w:val="pt-BR"/>
        </w:rPr>
        <w:t>[13] BRASIL. Lei nº 15.211, de 17 de setembro de 2025. Estatuto Digital da Criança e do Adolescente, especialmente art. 20.</w:t>
      </w:r>
      <w:r>
        <w:rPr>
          <w:lang w:val="pt-BR"/>
        </w:rPr>
        <w:t xml:space="preserve"> </w:t>
      </w:r>
      <w:hyperlink r:id="rId22">
        <w:r>
          <w:rPr>
            <w:color w:val="164B70"/>
            <w:u w:val="single"/>
          </w:rPr>
          <w:t>Consultar fonte</w:t>
        </w:r>
      </w:hyperlink>
    </w:p>
    <w:p>
      <w:pPr>
        <w:keepLines/>
      </w:pPr>
      <w:r>
        <w:rPr>
          <w:lang w:val="pt-BR"/>
        </w:rPr>
        <w:t>[14] BRASIL. Decreto nº 12.880/2026. Regulamenta o Estatuto Digital da Criança e do Adolescente. Especialmente arts. 23 e 24.</w:t>
      </w:r>
      <w:r>
        <w:rPr>
          <w:lang w:val="pt-BR"/>
        </w:rPr>
        <w:t xml:space="preserve"> </w:t>
      </w:r>
      <w:hyperlink r:id="rId23">
        <w:r>
          <w:rPr>
            <w:color w:val="164B70"/>
            <w:u w:val="single"/>
          </w:rPr>
          <w:t>Consultar fonte</w:t>
        </w:r>
      </w:hyperlink>
    </w:p>
    <w:p>
      <w:pPr>
        <w:keepLines/>
      </w:pPr>
      <w:r>
        <w:rPr>
          <w:lang w:val="pt-BR"/>
        </w:rPr>
        <w:t>[15] BANCO CENTRAL DO BRASIL. Análise técnica sobre o mercado de apostas online no Brasil e o perfil dos apostadores. Estudo Especial nº 119, 2024.</w:t>
      </w:r>
      <w:r>
        <w:rPr>
          <w:lang w:val="pt-BR"/>
        </w:rPr>
        <w:t xml:space="preserve"> </w:t>
      </w:r>
      <w:hyperlink r:id="rId24">
        <w:r>
          <w:rPr>
            <w:color w:val="164B70"/>
            <w:u w:val="single"/>
          </w:rPr>
          <w:t>Consultar fonte</w:t>
        </w:r>
      </w:hyperlink>
    </w:p>
    <w:p>
      <w:pPr>
        <w:keepLines/>
      </w:pPr>
      <w:r>
        <w:rPr>
          <w:lang w:val="pt-BR"/>
        </w:rPr>
        <w:t>[16] MUGGLETON, N. et al. The association between gambling and financial, social and health outcomes in big financial data. Nature Human Behaviour, 2021. DOI 10.1038/s41562-020-01045-w.</w:t>
      </w:r>
      <w:r>
        <w:rPr>
          <w:lang w:val="pt-BR"/>
        </w:rPr>
        <w:t xml:space="preserve"> </w:t>
      </w:r>
      <w:hyperlink r:id="rId25">
        <w:r>
          <w:rPr>
            <w:color w:val="164B70"/>
            <w:u w:val="single"/>
          </w:rPr>
          <w:t>Consultar fonte</w:t>
        </w:r>
      </w:hyperlink>
    </w:p>
    <w:p>
      <w:pPr>
        <w:keepLines/>
      </w:pPr>
      <w:r>
        <w:rPr>
          <w:lang w:val="pt-BR"/>
        </w:rPr>
        <w:t>[17] FISHER, M. L. et al. Legal and regulatory responses to online gambling harms: a scoping review of evidence. Harm Reduction Journal, 22, 163, 2025. DOI 10.1186/s12954-025-01292-y.</w:t>
      </w:r>
      <w:r>
        <w:rPr>
          <w:lang w:val="pt-BR"/>
        </w:rPr>
        <w:t xml:space="preserve"> </w:t>
      </w:r>
      <w:hyperlink r:id="rId26">
        <w:r>
          <w:rPr>
            <w:color w:val="164B70"/>
            <w:u w:val="single"/>
          </w:rPr>
          <w:t>Consultar fonte</w:t>
        </w:r>
      </w:hyperlink>
    </w:p>
    <w:p>
      <w:pPr>
        <w:keepLines/>
      </w:pPr>
      <w:r>
        <w:rPr>
          <w:lang w:val="pt-BR"/>
        </w:rPr>
        <w:t>[18] BRASIL. Ministério da Saúde. Guia de cuidado para pessoas com problemas relacionados a jogos de apostas. Brasília, 2026. 73 p.</w:t>
      </w:r>
      <w:r>
        <w:rPr>
          <w:lang w:val="pt-BR"/>
        </w:rPr>
        <w:t xml:space="preserve"> </w:t>
      </w:r>
      <w:hyperlink r:id="rId27">
        <w:r>
          <w:rPr>
            <w:color w:val="164B70"/>
            <w:u w:val="single"/>
          </w:rPr>
          <w:t>Consultar fonte</w:t>
        </w:r>
      </w:hyperlink>
    </w:p>
    <w:p>
      <w:pPr>
        <w:keepLines/>
      </w:pPr>
      <w:r>
        <w:rPr>
          <w:lang w:val="pt-BR"/>
        </w:rPr>
        <w:t>[19] BRASIL. Ministério da Saúde. Campanha do Ministério da Saúde orienta sobre riscos das apostas online e atendimento disponível no SUS. 1 out. 2026.</w:t>
      </w:r>
      <w:r>
        <w:rPr>
          <w:lang w:val="pt-BR"/>
        </w:rPr>
        <w:t xml:space="preserve"> </w:t>
      </w:r>
      <w:hyperlink r:id="rId28">
        <w:r>
          <w:rPr>
            <w:color w:val="164B70"/>
            <w:u w:val="single"/>
          </w:rPr>
          <w:t>Consultar fonte</w:t>
        </w:r>
      </w:hyperlink>
    </w:p>
    <w:p>
      <w:pPr>
        <w:keepLines/>
      </w:pPr>
      <w:r>
        <w:rPr>
          <w:lang w:val="pt-BR"/>
        </w:rPr>
        <w:t>[20] BRASIL. Ministério da Saúde. Jogos e apostas causaram ou ainda causam problemas? Saiba como fazer o autoteste e buscar atendimento pelo Meu SUS Digital. Out. 2026.</w:t>
      </w:r>
      <w:r>
        <w:rPr>
          <w:lang w:val="pt-BR"/>
        </w:rPr>
        <w:t xml:space="preserve"> </w:t>
      </w:r>
      <w:hyperlink r:id="rId29">
        <w:r>
          <w:rPr>
            <w:color w:val="164B70"/>
            <w:u w:val="single"/>
          </w:rPr>
          <w:t>Consultar fonte</w:t>
        </w:r>
      </w:hyperlink>
    </w:p>
    <w:p>
      <w:pPr>
        <w:keepLines/>
      </w:pPr>
      <w:r>
        <w:rPr>
          <w:lang w:val="pt-BR"/>
        </w:rPr>
        <w:t>[21] ZENDLE, D.; MEYER, R.; OVER, H. Adolescents and loot boxes: links with problem gambling and motivations for purchase. Royal Society Open Science, 6(6), 190049, 2019. DOI 10.1098/rsos.190049.</w:t>
      </w:r>
      <w:r>
        <w:rPr>
          <w:lang w:val="pt-BR"/>
        </w:rPr>
        <w:t xml:space="preserve"> </w:t>
      </w:r>
      <w:hyperlink r:id="rId30">
        <w:r>
          <w:rPr>
            <w:color w:val="164B70"/>
            <w:u w:val="single"/>
          </w:rPr>
          <w:t>Consultar fonte</w:t>
        </w:r>
      </w:hyperlink>
    </w:p>
    <w:p>
      <w:pPr>
        <w:keepLines/>
      </w:pPr>
      <w:r>
        <w:rPr>
          <w:lang w:val="pt-BR"/>
        </w:rPr>
        <w:t>[22] ANPD. Nota Técnica nº 54/2025/FIS/CGF/ANPD. Trecho sobre dados pessoais sensíveis e biometria. Documento técnico, 2025.</w:t>
      </w:r>
      <w:r>
        <w:rPr>
          <w:lang w:val="pt-BR"/>
        </w:rPr>
        <w:t xml:space="preserve"> </w:t>
      </w:r>
      <w:hyperlink r:id="rId31">
        <w:r>
          <w:rPr>
            <w:color w:val="164B70"/>
            <w:u w:val="single"/>
          </w:rPr>
          <w:t>Consultar fonte</w:t>
        </w:r>
      </w:hyperlink>
    </w:p>
    <w:p>
      <w:pPr>
        <w:keepLines/>
      </w:pPr>
      <w:r>
        <w:rPr>
          <w:lang w:val="pt-BR"/>
        </w:rPr>
        <w:t>[23] GAMBLING COMMISSION. Financial vulnerability checks: Insights from implementation. 14 maio 2026. Relato regulatório de resultados iniciais.</w:t>
      </w:r>
      <w:r>
        <w:rPr>
          <w:lang w:val="pt-BR"/>
        </w:rPr>
        <w:t xml:space="preserve"> </w:t>
      </w:r>
      <w:hyperlink r:id="rId32">
        <w:r>
          <w:rPr>
            <w:color w:val="164B70"/>
            <w:u w:val="single"/>
          </w:rPr>
          <w:t>Consultar fonte</w:t>
        </w:r>
      </w:hyperlink>
    </w:p>
    <w:p>
      <w:pPr>
        <w:pStyle w:val="Heading2"/>
      </w:pPr>
      <w:r>
        <w:rPr>
          <w:lang w:val="pt-BR"/>
        </w:rPr>
        <w:t>Documentos do projeto utilizados</w:t>
      </w:r>
    </w:p>
    <w:p>
      <w:r>
        <w:rPr>
          <w:lang w:val="pt-BR"/>
        </w:rPr>
        <w:t xml:space="preserve">CARVALHEIRO, Ana Maria. Educando para o Jogo. Materiais educativos do projeto, 2026. Corpus de contexto: matriz profissional de alterações editoriais, versão de 28/07/2026; página de apresentação intitulada “Educando para o Jogo: Guia das Bets”; páginas de publicidade e de prevenção disponibilizadas no acervo em agosto de 2026. Uso como antecedentes documentais e editoriais, sem atribuição de validação institucional desta pesquisa.</w:t>
      </w:r>
    </w:p>
    <w:p>
      <w:r>
        <w:rPr>
          <w:lang w:val="pt-BR"/>
        </w:rPr>
      </w:r>
      <w:r>
        <w:rPr>
          <w:b/>
          <w:lang w:val="pt-BR"/>
        </w:rPr>
        <w:t>Nota de transparência editorial.</w:t>
      </w:r>
      <w:r>
        <w:rPr>
          <w:lang w:val="pt-BR"/>
        </w:rPr>
        <w:t xml:space="preserve"> A preparação desta versão utilizou assistência de inteligência artificial para pesquisa, organização e redação. A submissão acadêmica deve observar as regras do veículo escolhido, com conferência autoral final das fontes e declaração de contribuições e vínculos pertinente.</w:t>
      </w:r>
    </w:p>
    <w:sectPr w:rsidR="00FC693F" w:rsidRPr="0006063C" w:rsidSect="00034616">
      <w:footerReference w:type="default" r:id="rId9"/>
      <w:pgSz w:w="12240" w:h="15840"/>
      <w:pgMar w:top="1037" w:right="1195" w:bottom="1037" w:left="1195"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Educando para o Jogo  |  Pesquisa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40"/>
    </w:pPr>
    <w:rPr>
      <w:rFonts w:ascii="Calibri" w:hAnsi="Calibri" w:eastAsia="Calibri" w:cs="Calibri"/>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40"/>
      <w:outlineLvl w:val="0"/>
    </w:pPr>
    <w:rPr>
      <w:rFonts w:asciiTheme="majorHAnsi" w:eastAsiaTheme="majorEastAsia" w:hAnsiTheme="majorHAnsi" w:cstheme="majorBidi" w:ascii="Calibri" w:hAnsi="Calibri" w:eastAsia="Calibri" w:cs="Calibri"/>
      <w:b/>
      <w:bCs/>
      <w:i w:val="0"/>
      <w:color w:val="000000"/>
      <w:sz w:val="34"/>
      <w:szCs w:val="28"/>
    </w:rPr>
  </w:style>
  <w:style w:type="paragraph" w:styleId="Heading2">
    <w:name w:val="heading 2"/>
    <w:basedOn w:val="Normal"/>
    <w:next w:val="Normal"/>
    <w:link w:val="Heading2Char"/>
    <w:uiPriority w:val="9"/>
    <w:unhideWhenUsed/>
    <w:qFormat/>
    <w:rsid w:val="00FC693F"/>
    <w:pPr>
      <w:keepNext/>
      <w:keepLines/>
      <w:spacing w:before="220" w:after="140"/>
      <w:outlineLvl w:val="1"/>
    </w:pPr>
    <w:rPr>
      <w:rFonts w:asciiTheme="majorHAnsi" w:eastAsiaTheme="majorEastAsia" w:hAnsiTheme="majorHAnsi" w:cstheme="majorBidi" w:ascii="Calibri" w:hAnsi="Calibri" w:eastAsia="Calibri" w:cs="Calibri"/>
      <w:b/>
      <w:bCs/>
      <w:i w:val="0"/>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40"/>
      <w:outlineLvl w:val="2"/>
    </w:pPr>
    <w:rPr>
      <w:rFonts w:asciiTheme="majorHAnsi" w:eastAsiaTheme="majorEastAsia" w:hAnsiTheme="majorHAnsi" w:cstheme="majorBidi" w:ascii="Calibri" w:hAnsi="Calibri" w:eastAsia="Calibri" w:cs="Calibri"/>
      <w:b/>
      <w:bCs/>
      <w:i w:val="0"/>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eastAsia="Calibri" w:cs="Calibri"/>
      <w:b/>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eastAsia="Calibri" w:cs="Calibri"/>
      <w:i w:val="0"/>
      <w:iCs/>
      <w:color w:val="000000"/>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who.int/news-room/fact-sheets/detail/gambling" TargetMode="External"/><Relationship Id="rId11" Type="http://schemas.openxmlformats.org/officeDocument/2006/relationships/hyperlink" Target="https://research.monash.edu/en/publications/the-lancet-ipublic-healthi-commission-on-gambling/" TargetMode="External"/><Relationship Id="rId12" Type="http://schemas.openxmlformats.org/officeDocument/2006/relationships/hyperlink" Target="https://eprints.gla.ac.uk/330496/" TargetMode="External"/><Relationship Id="rId13" Type="http://schemas.openxmlformats.org/officeDocument/2006/relationships/hyperlink" Target="https://pubmed.ncbi.nlm.nih.gov/36725155/" TargetMode="External"/><Relationship Id="rId14" Type="http://schemas.openxmlformats.org/officeDocument/2006/relationships/hyperlink" Target="https://pubmed.ncbi.nlm.nih.gov/38709628/" TargetMode="External"/><Relationship Id="rId15" Type="http://schemas.openxmlformats.org/officeDocument/2006/relationships/hyperlink" Target="https://cetic.br/noticia/tic-kids-online-brasil-65-das-criancas-e-dos-adolescentes-usam-ia-generativa-para-estudar-criar-conteudo-e-lidar-com-emocoes/" TargetMode="External"/><Relationship Id="rId16" Type="http://schemas.openxmlformats.org/officeDocument/2006/relationships/hyperlink" Target="https://www.planalto.gov.br/ccivil_03/_ato2023-2026/2026/mpv/mpv1394.htm" TargetMode="External"/><Relationship Id="rId17" Type="http://schemas.openxmlformats.org/officeDocument/2006/relationships/hyperlink" Target="https://www.gov.br/fazenda/pt-br/assuntos/noticias/2026/outubro/secretaria-de-premios-e-apostas-regulamenta-obrigacoes-das-empresas-apos-proibicao-das-bets" TargetMode="External"/><Relationship Id="rId18" Type="http://schemas.openxmlformats.org/officeDocument/2006/relationships/hyperlink" Target="https://www.gov.br/fazenda/pt-br/assuntos/noticias/2026/outubro/bets-prazo-para-retirada-voluntaria-de-recursos-termina-nesta-segunda-feira-5-10" TargetMode="External"/><Relationship Id="rId19" Type="http://schemas.openxmlformats.org/officeDocument/2006/relationships/hyperlink" Target="https://www.planalto.gov.br/ccivil_03/_ato2023-2026/2023/lei/l14790.htm" TargetMode="External"/><Relationship Id="rId20" Type="http://schemas.openxmlformats.org/officeDocument/2006/relationships/hyperlink" Target="https://noticias.stf.jus.br/postsnoticias/associacoes-questionam-no-stf-medida-provisoria-que-proibe-bets/" TargetMode="External"/><Relationship Id="rId21" Type="http://schemas.openxmlformats.org/officeDocument/2006/relationships/hyperlink" Target="https://www.planalto.gov.br/ccivil_03/_ato2015-2018/2018/lei/l13709compilado.htm" TargetMode="External"/><Relationship Id="rId22" Type="http://schemas.openxmlformats.org/officeDocument/2006/relationships/hyperlink" Target="https://www.planalto.gov.br/ccivil_03/_ato2023-2026/2025/lei/l15211.htm" TargetMode="External"/><Relationship Id="rId23" Type="http://schemas.openxmlformats.org/officeDocument/2006/relationships/hyperlink" Target="https://www.planalto.gov.br/ccivil_03/_ato2023-2026/2026/decreto/d12880.htm" TargetMode="External"/><Relationship Id="rId24" Type="http://schemas.openxmlformats.org/officeDocument/2006/relationships/hyperlink" Target="https://www.bcb.gov.br/conteudo/relatorioinflacao/EstudosEspeciais/EE119_Analise_tecnica_sobre_o_mercado_de_apostas_online_no_Brasil_e_o_perfil_dos_apostadores.pdf" TargetMode="External"/><Relationship Id="rId25" Type="http://schemas.openxmlformats.org/officeDocument/2006/relationships/hyperlink" Target="https://www.nature.com/articles/s41562-020-01045-w" TargetMode="External"/><Relationship Id="rId26" Type="http://schemas.openxmlformats.org/officeDocument/2006/relationships/hyperlink" Target="https://link.springer.com/article/10.1186/s12954-025-01292-y" TargetMode="External"/><Relationship Id="rId27" Type="http://schemas.openxmlformats.org/officeDocument/2006/relationships/hyperlink" Target="https://www.gov.br/saude/pt-br/centrais-de-conteudo/publicacoes/guias-e-manuais/2026/guia-de-cuidado-para-pessoas-com-problemas-relacionados-a-jogos-de-apostas.pdf/view" TargetMode="External"/><Relationship Id="rId28" Type="http://schemas.openxmlformats.org/officeDocument/2006/relationships/hyperlink" Target="https://www.gov.br/saude/pt-br/assuntos/noticias-ms/2026/outubro/campanha-do-ministerio-da-saude-orienta-sobre-riscos-das-apostas-online-e-atendimento-disponivel-no-sus" TargetMode="External"/><Relationship Id="rId29" Type="http://schemas.openxmlformats.org/officeDocument/2006/relationships/hyperlink" Target="https://www.gov.br/saude/pt-br/assuntos/noticias-ms/2026/outubro/jogos-e-apostas-causaram-ou-ainda-causam-problemas-saiba-como-fazer-o-autoteste-e-buscar-atendimento-pelo-meu-sus-digital/" TargetMode="External"/><Relationship Id="rId30" Type="http://schemas.openxmlformats.org/officeDocument/2006/relationships/hyperlink" Target="https://ray.yorksj.ac.uk/id/eprint/3927/" TargetMode="External"/><Relationship Id="rId31" Type="http://schemas.openxmlformats.org/officeDocument/2006/relationships/hyperlink" Target="https://www.gov.br/anpd/pt-br/acesso-a-informacao/institucional/atos-normativos/regulamentacoes_anpd/nota-tecnica-no-54-2025-fis-cgf-anpd.pdf" TargetMode="External"/><Relationship Id="rId32" Type="http://schemas.openxmlformats.org/officeDocument/2006/relationships/hyperlink" Target="https://www.gamblingcommission.gov.uk/blog/post/financial-vulnerability-checks-insights-from-implemen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Educando para o Jogo Pesquisa sobre riscos das apostas digitais e proteção de direitos</dc:title>
  <dc:subject>Pesquisa documental e proposta de investigação aplicada</dc:subject>
  <dc:creator>Ana Maria Carvalheiro</dc:creator>
  <cp:keywords>apostas digitais; saúde pública; proteção de dados; ECA Digital; educação</cp:keywords>
  <dc:description>generated by python-docx</dc:description>
  <cp:lastModifiedBy/>
  <cp:revision>1</cp:revision>
  <dcterms:created xsi:type="dcterms:W3CDTF">2013-12-23T23:15:00Z</dcterms:created>
  <dcterms:modified xsi:type="dcterms:W3CDTF">2013-12-23T23:15:00Z</dcterms:modified>
  <cp:category/>
</cp:coreProperties>
</file>