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0" w:after="0" w:line="360" w:lineRule="auto"/>
        <w:ind w:left="0" w:right="0" w:firstLine="0"/>
        <w:jc w:val="both"/>
      </w:pPr>
      <w:r>
        <w:rPr>
          <w:rFonts w:ascii="Times New Roman" w:hAnsi="Times New Roman" w:eastAsia="Times New Roman" w:cs="Times New Roman"/>
          <w:b/>
          <w:i w:val="0"/>
          <w:color w:val="000000"/>
          <w:sz w:val="24"/>
          <w:lang w:val="pt-BR"/>
        </w:rPr>
        <w:t>ECA Digital na transição de dados escolares: portabilidade e concorrência entre plataformas e aplicativos</w:t>
      </w:r>
    </w:p>
    <w:p>
      <w:pPr>
        <w:keepNext w:val="0"/>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Digital Statute of the Child and Adolescent in school data transitions: portability and competition between platforms and applications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Resumo</w:t>
      </w:r>
    </w:p>
    <w:p>
      <w:pPr>
        <w:keepNext w:val="0"/>
        <w:widowControl/>
        <w:spacing w:before="0" w:after="0" w:line="360" w:lineRule="auto"/>
        <w:ind w:left="0" w:right="0" w:firstLine="0"/>
        <w:jc w:val="both"/>
      </w:pPr>
      <w:r>
        <w:rPr>
          <w:rFonts w:ascii="Times New Roman" w:hAnsi="Times New Roman"/>
          <w:color w:val="000000"/>
          <w:sz w:val="24"/>
        </w:rPr>
        <w:t>O artigo examina como preservar direitos na transição de dados escolares sem restringir indevidamente a escolha de fornecedores. Combina interpretação do ECA Digital e da LGPD, análise documental, reanálise de microdados e testes de laboratório. O protocolo distingue planejamento, aceitação técnica e investigação concorrencial. A demonstração sintética abrange 34 condições; ensaios no Moodle comparam aceitação por integridade e por acesso autorizado. A TIC Domicílios 2024 revela diferenças de acesso entre estudantes, com incerteza explicitada por grupo racial. Os resultados sustentam controles verificáveis e atenção ao atendimento móvel, sem comprovar eficácia em escolas, discriminação causal ou dano concorrencial.</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Palavras-chave: ECA Digital; proteção de dados; dados escolares; portabilidade; defesa da concorrência; inclusão digital.</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Abstract</w:t>
      </w:r>
    </w:p>
    <w:p>
      <w:pPr>
        <w:keepNext w:val="0"/>
        <w:widowControl/>
        <w:spacing w:before="0" w:after="0" w:line="360" w:lineRule="auto"/>
        <w:ind w:left="0" w:right="0" w:firstLine="0"/>
        <w:jc w:val="both"/>
      </w:pPr>
      <w:r>
        <w:rPr>
          <w:rFonts w:ascii="Times New Roman" w:hAnsi="Times New Roman"/>
          <w:i w:val="0"/>
          <w:color w:val="000000"/>
          <w:sz w:val="24"/>
        </w:rPr>
        <w:t>This article examines how to preserve rights during school data transitions without unduly restricting supplier choice. It combines interpretation of Brazil’s Digital Statute of the Child and Adolescent and LGPD, documentary analysis, microdata reanalysis and laboratory tests. The protocol distinguishes planning, technical acceptance and competition investigation. A synthetic demonstration covers 34 conditions; Moodle tests compare acceptance based on data integrity and authorized access. ICT Households 2024 identifies differences in students’ access, with uncertainty reported by racial group. The findings support verifiable controls and mobile access assistance, without establishing effectiveness in schools, causal discrimination or competitive harm.</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Keywords: Digital Statute of the Child and Adolescent; data protection; school data; portability; competition policy; digital inclusion.</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Sumário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1. Introdução. 2. Método e contribuição. 3. ECA Digital e LGPD na transição de dados escolares. 4. Transição real e evidências documentais. 5. Protocolo de transição protegida e demonstração. 6. Concorrência, justificativas e medidas proporcionais. 7. Diversidade, inclusão e condições de substituição. 8. Conclusão.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1. Introdução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Em junho de 2026, o Ifal – Campus Penedo orientava seus estudantes a justificar faltas por e-mail, embora o novo sistema já oferecesse essa função. A migração gradual do SIGAA para o SUAP e a realização de testes motivavam a manutenção do procedimento anterior. Em setembro, outro comunicado passou a orientar o registro diretamente no SUAP (Ifal, 2026a; 2026b). A sequência revela uma questão concreta: uma funcionalidade disponível só passa a sustentar a rotina escolar quando a instituição autoriza seu uso e organiza a continuidade do atendimento.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Nessa transição circulam registros de frequência, vínculos acadêmicos e documentos comprobatórios. Em outras tarefas, mudam de ambiente notas, contatos familiares, autorizações e informações administrativas. O problema ultrapassa a cópia de arquivos: interessa saber quais dados devem acompanhar a troca, quem poderá utilizá-los e quais proteções continuarão operantes. Crianças, adolescentes e famílias podem suportar as consequências de uma escolha tecnológica feita pela instituição.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É nesse ponto que o ECA Digital orienta a pergunta do artigo: como preservar os direitos dos estudantes na transição entre plataformas e aplicativos sem transformar a proteção em obstáculo desnecessário à concorrência? A tese é que a alternativa precisa permitir o uso autorizado dos dados, preservar as proteções aplicáveis e assegurar a continuidade da tarefa no prazo institucional. Para atender a essas condições, não precisa reproduzir a tecnologia anterior.</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estudo trata da transição institucional de dados escolares, seja de toda a plataforma, seja de uma aplicação. Abrange serviços com ou sem inteligência artificial (IA), cuja presença acrescenta operações a controlar. O interesse concorrencial está na disputa pelo fornecimento às escolas e redes. Para saber se uma dificuldade de troca restringe essa disputa, é preciso examinar a condição imposta, sua justificativa e as alternativas de contratação.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2. Método e contribuição</w:t>
      </w:r>
    </w:p>
    <w:p>
      <w:pPr>
        <w:keepNext w:val="0"/>
        <w:widowControl/>
        <w:spacing w:before="0" w:after="0" w:line="360" w:lineRule="auto"/>
        <w:ind w:left="0" w:right="0" w:firstLine="0"/>
        <w:jc w:val="both"/>
      </w:pPr>
      <w:r>
        <w:rPr>
          <w:rFonts w:ascii="Times New Roman" w:hAnsi="Times New Roman"/>
          <w:color w:val="000000"/>
          <w:sz w:val="24"/>
        </w:rPr>
        <w:t>A pesquisa combina interpretação jurídica, análise documental, reanálise de microdados e ensaios de laboratório. A leitura considera procedência, contexto e natureza das fontes (Sá-Silva; Almeida; Guindani, 2009, p. 8–11). O corpus reúne normas, documentação do Classroom, edital escolar, decisões da CMA, acórdãos do TJUE e comunicados do Ifal, consultados até 8 de outubro de 2026. Permite comparar mecanismos, sem representar o mercado. A reanálise utiliza os 21.170 registros públicos da TIC Domicílios 2024; recorte, pesos e incerteza são especificados na seção 7.</w:t>
      </w:r>
    </w:p>
    <w:p>
      <w:pPr>
        <w:keepNext w:val="0"/>
        <w:widowControl/>
        <w:spacing w:before="0" w:after="0" w:line="360" w:lineRule="auto"/>
        <w:ind w:left="0" w:right="0" w:firstLine="0"/>
        <w:jc w:val="both"/>
      </w:pPr>
      <w:r>
        <w:rPr>
          <w:rFonts w:ascii="Times New Roman" w:hAnsi="Times New Roman"/>
          <w:color w:val="000000"/>
          <w:sz w:val="24"/>
        </w:rPr>
        <w:t>Cada documento é registrado por origem, localização, destinatário, condição, evidência e alcance. Nos casos CMA 51140 e 51427, distinguem-se fatos relatados pela autoridade, expectativas e lacunas, antes de relacioná-los à resposta adotada. Previsão contratual não comprova execução. Os casos envolvem o mesmo fornecedor e foram selecionados com desfechos conhecidos; a reconstrução não é teste preditivo nem acesso integral aos autos. Os ensaios técnicos verificam critérios de aceitação, sem reproduzir decisões comerciais.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Nicholas e Weinberg (2019, p. 13–19) mostram que exportações podem perder utilidade fora de seu contexto. Vincent-Lancrin e González-Sancho (2023, cap. 11) distinguem dimensões técnicas, semânticas, organizacionais e jurídicas da interoperabilidade educacional. Ponce (2020) separa portabilidade como direito pessoal e como medida concorrencial. Esses antecedentes fundamentam a proposta.</w:t>
      </w:r>
    </w:p>
    <w:p>
      <w:pPr>
        <w:keepNext w:val="0"/>
        <w:widowControl/>
        <w:spacing w:before="0" w:after="0" w:line="360" w:lineRule="auto"/>
        <w:ind w:left="0" w:right="0" w:firstLine="0"/>
        <w:jc w:val="both"/>
      </w:pPr>
      <w:r>
        <w:rPr>
          <w:rFonts w:ascii="Times New Roman" w:hAnsi="Times New Roman"/>
          <w:color w:val="000000"/>
          <w:sz w:val="24"/>
        </w:rPr>
        <w:t>A contribuição organiza a avaliação das ofertas que a escola pode efetivamente utilizar. Definidos tarefa e prazo, verifica-se se cada alternativa preserva a proteção, funciona e depende de condição imposta pelo fornecedor. Só então se comparam custos e benefícios: soluções de igual preço podem diferir porque uma expõe dados ou fica pronta tarde demais. A proposta especifica evidências para essas decisões, sem reivindicar nova teoria dos custos de troca.</w:t>
      </w:r>
    </w:p>
    <w:p>
      <w:pPr>
        <w:keepNext w:val="0"/>
        <w:widowControl/>
        <w:spacing w:before="0" w:after="0" w:line="360" w:lineRule="auto"/>
        <w:ind w:left="0" w:right="0" w:firstLine="0"/>
        <w:jc w:val="both"/>
      </w:pPr>
      <w:r>
        <w:rPr>
          <w:rFonts w:ascii="Times New Roman" w:hAnsi="Times New Roman"/>
          <w:color w:val="000000"/>
          <w:sz w:val="24"/>
        </w:rPr>
        <w:t>Não houve entrevistas, dupla codificação ou migração em escola participante. O modelo em Python testa condições construídas; o ensaio Moodle executa backup, restauração e permissões nativas com contas fictícias. Critérios e falhas foram definidos no estudo, sem avaliador independente. Não se testaram autenticação em rede, acessibilidade ou IA operacional. A análise de microdados é observacional e os prazos decisórios são hipotéticos. Esses limites impedem tratar a execução técnica como certificação jurídica, acurácia externa ou efeito causal.</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3. ECA Digital e LGPD na transição de dados escolares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3.1. Objeto da transferência e responsabilidades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 transição de dados escolares reúne seleção, transferência, conferência e reutilização autorizadas dos registros quando um serviço é substituído. Cada termo descreve uma parte desse processo: exportar é fornecer uma cópia; a portabilidade envolve transferir e reutilizar; a interoperabilidade permite que sistemas se comuniquem e funcionem em conjunto (OCDE, 2021, seção 2). Por isso, trocar um aplicativo integrado pode exigir apenas acesso autorizado à base mantida pela escola. A migração integral só faz sentido quando a tarefa a exige.</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conjunto pode abranger matrículas, frequência, avaliações e atividades de estudantes; contatos e vínculos de responsáveis; atribuições, horários e registros funcionais de professores e funcionários; além de inventários, reservas de equipamentos e informações administrativas. Recursos materiais comparecem como registros de disponibilidade e uso. A necessidade da tarefa delimita a transferência, que não autoriza reunir indiscriminadamente todos os dados da comunidade.</w:t>
      </w:r>
    </w:p>
    <w:p>
      <w:pPr>
        <w:keepNext w:val="0"/>
        <w:widowControl/>
        <w:spacing w:before="0" w:after="0" w:line="360" w:lineRule="auto"/>
        <w:ind w:left="0" w:right="0" w:firstLine="0"/>
        <w:jc w:val="both"/>
      </w:pPr>
      <w:r>
        <w:rPr>
          <w:rFonts w:ascii="Times New Roman" w:hAnsi="Times New Roman"/>
          <w:color w:val="000000"/>
          <w:sz w:val="24"/>
        </w:rPr>
        <w:t>A LGPD distingue titular, controlador e operador; a decisão institucional pode caber à mantenedora ou ao órgão gestor. O papel do fornecedor depende das operações efetivas. A escola não se torna proprietária dos dados pessoais. O direito individual do art. 18, V, sujeito às condições legais e regulamentares, não equivale a uma ordem de transferência de toda a base. A substituição institucional exige definir finalidade, base jurídica e responsabilidades por operação. A assistência à saída pode decorrer do contrato, enquanto uma obrigação concorrencial depende de fundamento próprio (Brasil, 2018, arts. 5º, 6º e 18; Ponce, 2020).</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Enunciado CD/ANPD nº 1/2023 admite as bases dos arts. 7º e 11 da LGPD, com prevalência do melhor interesse avaliado concretamente (ANPD, 2023). Consentimento não é autorização universal para migrar. Dados de saúde e de origem racial exigem tratamento compatível com sua natureza sensível. A troca de plataforma também não legitima, por si, reutilização para treinamento de modelos ou publicidade.</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3.2. O ECA Digital como condição da transição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 Lei nº 15.211/2025 abrange produtos e serviços direcionados a crianças e adolescentes ou de acesso provável por eles. Sua incidência deve ser justificada pelo serviço e seus usuários: um aplicativo estudantil e um módulo exclusivamente interno de folha de pagamento não se enquadram automaticamente pela mesma razão. A LGPD continua pertinente quando houver tratamento de dados pessoais, inclusive dos adultos da comunidade escolar (Brasil, 2025, art. 1º; Brasil, 2018).</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Nos serviços abrangidos, a proteção prioritária e o melhor interesse orientam a operação. A configuração por padrão deve observar o modelo mais protetivo disponível, e os fornecedores devem gerenciar os riscos de seus recursos e sistemas. A lei também considera a acessibilidade e o acesso significativo às tecnologias (Brasil, 2025, arts. 3º, 4º, VII, 5º, § 2º, 7º e 8º, I). O artigo propõe verificar esses aspectos na aceitação da transição, sem tratar seu protocolo como lista legal exaustiva.</w:t>
      </w:r>
    </w:p>
    <w:p>
      <w:pPr>
        <w:keepNext w:val="0"/>
        <w:widowControl/>
        <w:spacing w:before="0" w:after="0" w:line="360" w:lineRule="auto"/>
        <w:ind w:left="0" w:right="0" w:firstLine="0"/>
        <w:jc w:val="both"/>
      </w:pPr>
      <w:r>
        <w:rPr>
          <w:rFonts w:ascii="Times New Roman" w:hAnsi="Times New Roman"/>
          <w:color w:val="000000"/>
          <w:sz w:val="24"/>
        </w:rPr>
        <w:t>A diferença aparece em situações simples: uma avaliação pode chegar intacta ao novo sistema e, ainda assim, ficar visível à pessoa errada; o cadastro pode associar um responsável a outro estudante. Preservar função e proteção exige conferir esses comportamentos. O destino pode usar tecnologia diferente e deve corrigir controles anteriores inadequados. Para cada requisito, a avaliação identifica o direito protegido, o risco e a evidência de atendimento, em vez de exigir uma solução pelo nome comercial.</w:t>
      </w:r>
    </w:p>
    <w:p>
      <w:pPr>
        <w:keepNext w:val="0"/>
        <w:widowControl/>
        <w:spacing w:before="0" w:after="0" w:line="360" w:lineRule="auto"/>
        <w:ind w:left="0" w:right="0" w:firstLine="0"/>
        <w:jc w:val="both"/>
      </w:pPr>
      <w:r>
        <w:rPr>
          <w:rFonts w:ascii="Times New Roman" w:hAnsi="Times New Roman"/>
          <w:color w:val="000000"/>
          <w:sz w:val="24"/>
        </w:rPr>
        <w:t>Dessa forma, o ECA Digital orienta a aceitação da transição, sem criar obrigação geral de entregar código ou reproduzir toda a plataforma. A proteção exigível precisa ser preservada, embora diferentes arquiteturas possam atendê-la a custos distintos. Comparar essas possibilidades permite avaliar se existe um meio igualmente protetivo que restrinja menos a escolha do fornecedor.</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3.3. Antes, durante e depois da transferência</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Antes de transferir, a instituição precisa saber quais registros serão reutilizados, quais permanecerão em arquivo e quais não são necessários à nova tarefa. O inventário relaciona cada conjunto à finalidade, aos usuários autorizados e ao período de conservação. Essa preparação preserva vínculos entre estudante, turma, atividade e responsável, sem transportar automaticamente permissões antigas.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Durante a transferência, o plano identifica os operadores, as cópias temporárias e os acessos de implantação. A conferência acompanha os dados até seu uso no destino: verifica se estão completos, se os vínculos continuam corretos e se as permissões funcionam. Contar registros ou abrir um arquivo sem erro não responde a essas perguntas. O dever de segurança previsto na LGPD alcança a operação e subsiste após o término do tratamento (Brasil, 2018, arts. 46–47).</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Depois da entrada em operação, é preciso retirar acessos substituídos e definir o destino das cópias anteriores. Cessar o uso, conservar por fundamento legítimo e eliminar dados são situações distintas; o encerramento do contrato não dispensa as condições de conservação previstas na LGPD (Brasil, 2018, arts. 15–16). A conferência deve identificar responsáveis e evidências, inclusive quanto a arquivos históricos. A existência de guarda legítima não implica necessidade de manter toda a licença operacional.</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Essas etapas precisam caber na rotina da escola. Chama-se portabilidade em tempo pedagógico a recuperação do uso autorizado dos dados em prazo compatível com aulas, avaliações e atividades administrativas. A janela deve ser justificada pelo calendário, pela preparação possível, pelas etapas e pelo atendimento provisório; não é um prazo legal proposto pelo artigo. Quando o planejamento for verificável, a contratação poderá anteceder a conclusão da migração.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4. Transição real e evidências documentais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4.1. Uma transição documentada no Ifal – Campus Penedo</w:t>
      </w:r>
    </w:p>
    <w:p>
      <w:pPr>
        <w:keepNext w:val="0"/>
        <w:widowControl/>
        <w:spacing w:before="0" w:after="0" w:line="360" w:lineRule="auto"/>
        <w:ind w:left="0" w:right="0" w:firstLine="0"/>
        <w:jc w:val="both"/>
      </w:pPr>
      <w:r>
        <w:rPr>
          <w:rFonts w:ascii="Times New Roman" w:hAnsi="Times New Roman"/>
          <w:color w:val="000000"/>
          <w:sz w:val="24"/>
        </w:rPr>
        <w:t>O Ifal – Campus Penedo oferece cursos técnicos integrados ao ensino médio (Ifal, s.d.). Os comunicados de junho e setembro permitem reconstruir a mudança do registro de justificativas: primeiro, envio por e-mail e intermediação da coordenação no SIGAA; depois, registro pelo estudante no SUAP (Ifal, 2026a; 2026b). A unidade observada é essa rotina, não toda a migração.</w:t>
      </w:r>
    </w:p>
    <w:p>
      <w:pPr>
        <w:keepNext w:val="0"/>
        <w:widowControl/>
        <w:spacing w:before="0" w:after="0" w:line="360" w:lineRule="auto"/>
        <w:ind w:left="0" w:right="0" w:firstLine="0"/>
        <w:jc w:val="both"/>
      </w:pPr>
      <w:r>
        <w:rPr>
          <w:rFonts w:ascii="Times New Roman" w:hAnsi="Times New Roman"/>
          <w:color w:val="000000"/>
          <w:sz w:val="24"/>
        </w:rPr>
        <w:t>A leitura pelo protocolo permite identificar tarefa, canal, responsável pelo registro e dois marcos de orientação. Os comunicados, porém, não informam completude, permissões, retenção ou duração da migração. Como ambos mencionam comprovantes, inclusive atestados, uma verificação relevante seria testar quem consegue acessar esses anexos no destino. Esse resultado permanece desconhecido: os documentos não demonstram falha do Ifal, nem a disponibilidade do SUAP comprova conformidade.</w:t>
      </w:r>
    </w:p>
    <w:p>
      <w:pPr>
        <w:keepNext w:val="0"/>
        <w:widowControl/>
        <w:spacing w:before="0" w:after="0" w:line="360" w:lineRule="auto"/>
        <w:ind w:left="0" w:right="0" w:firstLine="0"/>
        <w:jc w:val="both"/>
      </w:pPr>
      <w:r>
        <w:rPr>
          <w:rFonts w:ascii="Times New Roman" w:hAnsi="Times New Roman"/>
          <w:color w:val="000000"/>
          <w:sz w:val="24"/>
        </w:rPr>
        <w:t>O caso esclarece, portanto, a distância entre disponibilizar uma função e incorporá-la à rotina institucional. Para avançar à análise concorrencial, faltariam informações sobre fornecedor, condição imposta e alternativa prejudicada. É essa passagem que os documentos seguintes ajudam a examinar.</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4.2. Obrigações de saída em uma contratação escolar</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Pregão 015/2020 de Alfredo Chaves prevê sistema administrativo e acadêmico com implantação gradual por escola. Seu termo de referência combina licença permanente para cadastros e documentos escolares, disponibilidade do banco de dados após o encerramento e assistência técnica à implantação de sistemas de terceiros (Alfredo Chaves, 2020, itens 1.1, 12.11 e 12.29–12.30). A minuta reproduz as duas últimas obrigações nos itens 6.2.29–6.2.30.</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prazo de dez dias do item 10.1 conta da ordem de serviço; não é prazo específico de saída. Nas cláusulas 12.29–12.30, não se especificam formato, dicionário de campos ou teste de reutilização. A constatação limita-se a essas cláusulas.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Embora anterior ao ECA Digital, o edital mostra que conservação, entrega e assistência à saída já podem integrar a contratação escolar. Para saber se a obrigação foi cumprida, seria necessário verificar sua execução e definir quais dados, destinatários e controles orientariam a aceitação.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4.3. Exportação e limites de operação no Classroom</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Classroom lista entregas, notas, comentários e pontuações por rubrica entre os dados exportáveis, com ressalvas para contas escolares ou profissionais (Google, s.d.). A página de limitações vincula a criação de rubricas ao projeto Google Cloud criador da atividade e apresenta essa regra como proteção contra interferência entre aplicações (Google, 2026, seção “Third-party coursework”). A disponibilidade do registro exportado e a autorização para operar sobre um recurso são questões diferentes.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Para avaliar o alcance dessa diferença, a comparação precisa fixar tarefa, versão, licença e permissões. A restrição será relevante se a tarefa depender da operação e não houver caminho autorizado e igualmente protetivo para retomá-la. A seção 6 desenvolve o exame da justificativa e de suas possíveis consequências concorrenciais.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4.4. Duas decisões reais sobre software escolar</w:t>
      </w:r>
    </w:p>
    <w:p>
      <w:pPr>
        <w:keepNext w:val="0"/>
        <w:widowControl/>
        <w:spacing w:before="0" w:after="0" w:line="360" w:lineRule="auto"/>
        <w:ind w:left="0" w:right="0" w:firstLine="0"/>
        <w:jc w:val="both"/>
      </w:pPr>
      <w:r>
        <w:rPr>
          <w:rFonts w:ascii="Times New Roman" w:hAnsi="Times New Roman"/>
          <w:color w:val="000000"/>
          <w:sz w:val="24"/>
        </w:rPr>
        <w:t>No caso 51140, a CMA examinou a passagem de contratos anuais da ESS/SIMS para três anos. Respondentes relataram precisar de dez meses ou mais para trocar de sistema; a oferta original de saída em seis meses não atendia parte das escolas. A decisão de 10 de janeiro de 2023 aceitou compromissos para escolas elegíveis solicitarem a um avaliador independente doze meses para decidir e preparar a saída em 31 de março de 2024. Não houve decisão de infração. O problema estava na oportunidade de escolher, não na duração contratual isolada (CMA, 2023a, itens 1.2–1.5, 4.8–4.11 e 6.24).</w:t>
      </w:r>
    </w:p>
    <w:p>
      <w:pPr>
        <w:keepNext w:val="0"/>
        <w:widowControl/>
        <w:spacing w:before="0" w:after="0" w:line="360" w:lineRule="auto"/>
        <w:ind w:left="0" w:right="0" w:firstLine="0"/>
        <w:jc w:val="both"/>
      </w:pPr>
      <w:r>
        <w:rPr>
          <w:rFonts w:ascii="Times New Roman" w:hAnsi="Times New Roman"/>
          <w:color w:val="000000"/>
          <w:sz w:val="24"/>
        </w:rPr>
        <w:t>O protocolo distingue duas decisões: conceder tempo para escolher e autorizar o início da operação. A primeira depende da consideração efetiva da troca e da avaliação razoável do prazo; não exige migração já concluída. A segunda requer testes do destino. Confundi-las excluiria a escola que precisa de prazo justamente para preparar a transição. Os relatos não permitem calcular sua margem temporal individual.</w:t>
      </w:r>
    </w:p>
    <w:p>
      <w:pPr>
        <w:keepNext w:val="0"/>
        <w:widowControl/>
        <w:spacing w:before="0" w:after="0" w:line="360" w:lineRule="auto"/>
        <w:ind w:left="0" w:right="0" w:firstLine="0"/>
        <w:jc w:val="both"/>
      </w:pPr>
      <w:r>
        <w:rPr>
          <w:rFonts w:ascii="Times New Roman" w:hAnsi="Times New Roman"/>
          <w:sz w:val="24"/>
        </w:rPr>
        <w:t>As instruções pediam etapas, estimativa de duração e base da estimativa, mas admitiam recordações de conversas e ausência justificada de documentos. Não bastava alegar inexistência de fornecedor alternativo (CMA, 2023b, apêndice 3A, itens 17–26). Para o protocolo, decorre uma exigência de proporcionalidade probatória: registrar a razão da decisão sem excluir a escola por não possuir arquivos que estejam com terceiros.</w:t>
      </w:r>
    </w:p>
    <w:p>
      <w:pPr>
        <w:keepNext w:val="0"/>
        <w:widowControl/>
        <w:spacing w:before="0" w:after="0" w:line="360" w:lineRule="auto"/>
        <w:ind w:left="0" w:right="0" w:firstLine="0"/>
        <w:jc w:val="both"/>
      </w:pPr>
      <w:r>
        <w:rPr>
          <w:rFonts w:ascii="Times New Roman" w:hAnsi="Times New Roman"/>
          <w:sz w:val="24"/>
        </w:rPr>
        <w:t>No caso 51427, a ESS invocou propriedade intelectual para objetar ao uso de backups na migração. A CMA encerrou a investigação por prioridade administrativa, sem decidir infração, em 29 de agosto de 2024. Relatou trocas e rotas por APIs e relatórios menos onerosas e sujeitas a menos erros. Estimou participações de 46% para ESS e 41% para Key por número de escolas estatais ou financiadas pelo Estado na Inglaterra, com base no censo de maio de 2024 (CMA, 2024, p. 1–4).</w:t>
      </w:r>
    </w:p>
    <w:p>
      <w:pPr>
        <w:keepNext w:val="0"/>
        <w:widowControl/>
        <w:spacing w:before="0" w:after="0" w:line="360" w:lineRule="auto"/>
        <w:ind w:left="0" w:right="0" w:firstLine="0"/>
        <w:jc w:val="both"/>
      </w:pPr>
      <w:r>
        <w:rPr>
          <w:rFonts w:ascii="Times New Roman" w:hAnsi="Times New Roman"/>
          <w:sz w:val="24"/>
        </w:rPr>
        <w:t>O protocolo exige separar essas observações das melhorias esperadas até março de 2025. Rotas utilizáveis enfraquecem a hipótese de bloqueio geral, mas não demonstram ausência de custo residual ou proteção equivalente. A prioridade administrativa também considera recursos e impacto esperado; o encerramento não prova que a restrição era inócua. Faltam testes por escola de completude, permissões e retenção. Assim, é possível reconsiderar a intervenção concorrencial sem autorizar automaticamente uma migração nem aplicar retroativamente o ECA Digital ao Reino Unido.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 Protocolo de transição protegida e demonstração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5.1. Fixar requisitos de proteção e demonstrar a aptidão do destino</w:t>
      </w:r>
    </w:p>
    <w:p>
      <w:pPr>
        <w:keepNext w:val="0"/>
        <w:widowControl/>
        <w:spacing w:before="0" w:after="0" w:line="360" w:lineRule="auto"/>
        <w:ind w:left="0" w:right="0" w:firstLine="0"/>
        <w:jc w:val="both"/>
      </w:pPr>
      <w:r>
        <w:rPr>
          <w:rFonts w:ascii="Times New Roman" w:hAnsi="Times New Roman"/>
          <w:color w:val="000000"/>
          <w:sz w:val="24"/>
        </w:rPr>
        <w:t>O primeiro passo é definir o que o destino precisa fazer, quais proteções deve preservar e como será verificado. O Quadro 1 registra se cada requisito foi atendido, descumprido ou permanece desconhecido. Na devolutiva de avaliação ao estudante, por exemplo, importam o vínculo correto, a aprovação antes da publicação, o acesso pelo destinatário autorizado e a possibilidade de revogar a atuação. A aprovação prévia pertence a esse caso de uso; não é exigência proposta para toda comunicação escolar.</w:t>
      </w:r>
    </w:p>
    <w:p>
      <w:pPr>
        <w:keepNext w:val="0"/>
        <w:widowControl/>
        <w:spacing w:before="0" w:after="0" w:line="360" w:lineRule="auto"/>
        <w:ind w:left="0" w:right="0" w:firstLine="0"/>
        <w:jc w:val="both"/>
      </w:pPr>
      <w:r>
        <w:rPr>
          <w:rFonts w:ascii="Times New Roman" w:hAnsi="Times New Roman"/>
          <w:color w:val="000000"/>
          <w:sz w:val="24"/>
        </w:rPr>
        <w:t>A evidência necessária depende da decisão. Consultar fornecedores ou considerar mais prazo não exige uma migração previamente certificada. Já autorizar o uso dos dados no destino requer demonstrar proteção e funcionamento. Entre as alternativas que atendem a essas condições, comparam-se preço, qualidade e suporte, incluindo a permanência no serviço atual, também sujeita às proteções. Se houver atuação de IA, ela precisará de testes próprios.</w:t>
      </w:r>
    </w:p>
    <w:p>
      <w:pPr>
        <w:keepNext w:val="0"/>
        <w:widowControl/>
        <w:spacing w:before="0" w:after="0" w:line="360" w:lineRule="auto"/>
        <w:ind w:left="0" w:right="0" w:firstLine="0"/>
        <w:jc w:val="both"/>
      </w:pPr>
      <w:r>
        <w:rPr>
          <w:rFonts w:ascii="Times New Roman" w:hAnsi="Times New Roman"/>
          <w:color w:val="000000"/>
          <w:sz w:val="24"/>
        </w:rPr>
        <w:t>Para localizar uma dificuldade, testa-se o destino com insumos completos e autorizados e, depois, com os recursos transferidos. A comparação separa incapacidade do sistema, defeito na transferência e restrição de acesso. Uma proteção crítica desconhecida impede autorizar a operação, sem comprovar falha nem encerrar a busca de alternativas. Após corrigir um descumprimento, repete-se o teste e verifica-se se a tarefa legítima continua funcionando. A aceitação identifica seu escopo; não certifica controles que não foram examinados.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5.2. Comparar a escolha e o efeito da restrição</w:t>
      </w:r>
    </w:p>
    <w:p>
      <w:pPr>
        <w:keepNext w:val="0"/>
        <w:widowControl/>
        <w:spacing w:before="0" w:after="0" w:line="360" w:lineRule="auto"/>
        <w:ind w:left="0" w:right="0" w:firstLine="0"/>
        <w:jc w:val="both"/>
      </w:pPr>
      <w:r>
        <w:rPr>
          <w:rFonts w:ascii="Times New Roman" w:hAnsi="Times New Roman"/>
          <w:color w:val="000000"/>
          <w:sz w:val="24"/>
        </w:rPr>
        <w:t>O protocolo emprega dois contrafactuais, isto é, duas comparações entre situações alternativas. O primeiro confronta permanecer e migrar no mesmo horizonte, sob requisitos equivalentes. Considera custos futuros, suporte, continuidade e benefícios, excluindo investimentos irrecuperáveis já realizados. Privacidade, acessibilidade e autonomia docente não precisam receber preços artificiais. Tampouco se presume custo nulo para permanecer: o serviço atual também pode exigir correções.</w:t>
      </w:r>
    </w:p>
    <w:p>
      <w:pPr>
        <w:keepNext w:val="0"/>
        <w:widowControl/>
        <w:spacing w:before="0" w:after="0" w:line="360" w:lineRule="auto"/>
        <w:ind w:left="0" w:right="0" w:firstLine="0"/>
        <w:jc w:val="both"/>
      </w:pPr>
      <w:r>
        <w:rPr>
          <w:rFonts w:ascii="Times New Roman" w:hAnsi="Times New Roman"/>
          <w:color w:val="000000"/>
          <w:sz w:val="24"/>
        </w:rPr>
        <w:t>O segundo pergunta o que mudaria na transição se uma condição do fornecedor fosse retirada. Para responder, mantêm-se tarefa, equipe, recursos do destino e requisitos, alterando apenas a condição de documentação, prazo, acesso ou contratação examinada. Aprendizado, suporte adicional e mudanças do produto são explicações concorrentes que precisam ser isoladas. Somente após enfrentá-las o contraste poderá sustentar uma atribuição causal; comparar marcas ou datas não basta.</w:t>
      </w:r>
    </w:p>
    <w:p>
      <w:pPr>
        <w:keepNext w:val="0"/>
        <w:widowControl/>
        <w:spacing w:before="0" w:after="0" w:line="360" w:lineRule="auto"/>
        <w:ind w:left="0" w:right="0" w:firstLine="0"/>
        <w:jc w:val="both"/>
      </w:pPr>
      <w:r>
        <w:rPr>
          <w:rFonts w:ascii="Times New Roman" w:hAnsi="Times New Roman"/>
          <w:color w:val="000000"/>
          <w:sz w:val="24"/>
        </w:rPr>
        <w:t>A alternativa sem a condição precisa ser praticável, juridicamente admissível e ter custo estimado ou observado. O fornecedor de origem registra a exportação e sua justificativa; o destino documenta a aceitação; a instituição fundamenta o calendário e a escolha. Se faltar um documento, registra-se a incerteza e busca-se a informação. O procedimento não cria inversão legal do ônus da prova nem pressupõe que todos os registros estejam com a escola.</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5.3. Registrar esforço, prazo e responsabilidade</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registro identifica requisito, fonte, data, responsável e resultado. Separa documentação, execução e estimativa; vincula a decisão à evidência e à correção ou diligência necessária.</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Quadro 1 — Verificações de proteção na transição de dados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644"/>
        <w:gridCol w:w="3685"/>
        <w:gridCol w:w="3742"/>
      </w:tblGrid>
      <w:tr>
        <w:trPr>
          <w:cantSplit/>
          <w:tblHeader/>
        </w:trPr>
        <w:tc>
          <w:tcPr>
            <w:tcW w:type="dxa" w:w="1644"/>
            <w:vAlign w:val="center"/>
            <w:shd w:fill="F0F0F0"/>
          </w:tcPr>
          <w:p>
            <w:pPr>
              <w:keepNext/>
              <w:spacing w:line="360" w:lineRule="auto" w:before="0" w:after="0"/>
              <w:ind w:firstLine="0" w:left="0" w:right="0"/>
              <w:jc w:val="both"/>
            </w:pPr>
            <w:r>
              <w:rPr>
                <w:rFonts w:ascii="Times New Roman" w:hAnsi="Times New Roman" w:eastAsia="Times New Roman" w:cs="Times New Roman"/>
                <w:b w:val="0"/>
                <w:i/>
                <w:color w:val="000000"/>
                <w:sz w:val="24"/>
                <w:lang w:val="pt-BR"/>
              </w:rPr>
              <w:t>Momento</w:t>
            </w:r>
          </w:p>
        </w:tc>
        <w:tc>
          <w:tcPr>
            <w:tcW w:type="dxa" w:w="3685"/>
            <w:vAlign w:val="center"/>
            <w:shd w:fill="F0F0F0"/>
          </w:tcPr>
          <w:p>
            <w:pPr>
              <w:keepNext/>
              <w:spacing w:line="360" w:lineRule="auto" w:before="0" w:after="0"/>
              <w:ind w:firstLine="0" w:left="0" w:right="0"/>
              <w:jc w:val="both"/>
            </w:pPr>
            <w:r>
              <w:rPr>
                <w:rFonts w:ascii="Times New Roman" w:hAnsi="Times New Roman" w:eastAsia="Times New Roman" w:cs="Times New Roman"/>
                <w:b w:val="0"/>
                <w:i/>
                <w:color w:val="000000"/>
                <w:sz w:val="24"/>
                <w:lang w:val="pt-BR"/>
              </w:rPr>
              <w:t>Evidência a registrar</w:t>
            </w:r>
          </w:p>
        </w:tc>
        <w:tc>
          <w:tcPr>
            <w:tcW w:type="dxa" w:w="3742"/>
            <w:vAlign w:val="center"/>
            <w:shd w:fill="F0F0F0"/>
          </w:tcPr>
          <w:p>
            <w:pPr>
              <w:keepNext/>
              <w:spacing w:line="360" w:lineRule="auto" w:before="0" w:after="0"/>
              <w:ind w:firstLine="0" w:left="0" w:right="0"/>
              <w:jc w:val="both"/>
            </w:pPr>
            <w:r>
              <w:rPr>
                <w:rFonts w:ascii="Times New Roman" w:hAnsi="Times New Roman" w:eastAsia="Times New Roman" w:cs="Times New Roman"/>
                <w:b w:val="0"/>
                <w:i/>
                <w:color w:val="000000"/>
                <w:sz w:val="24"/>
                <w:lang w:val="pt-BR"/>
              </w:rPr>
              <w:t>Critério de aceitação</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Antes</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Inventário, finalidade e destinatários.</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Somente os dados necessários à tarefa.</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Antes</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Proteções e formas alternativas de atendê-las.</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Requisitos comuns, sem tecnologia exclusiva.</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Durante</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Vínculos, permissões e cópias temporárias.</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Correspondência correta e acesso autorizado.</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Depois</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Retirada de acessos e destino das cópias.</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Uso encerrado ou conservação fundamentada.</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Continuidade</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Rotina, prazo, acessibilidade e atendimento.</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Tarefa utilizável pela comunidade abrangida.</w:t>
            </w:r>
          </w:p>
        </w:tc>
      </w:tr>
      <w:tr>
        <w:trPr>
          <w:cantSplit/>
        </w:trPr>
        <w:tc>
          <w:tcPr>
            <w:tcW w:type="dxa" w:w="1644"/>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Concorrência</w:t>
            </w:r>
          </w:p>
        </w:tc>
        <w:tc>
          <w:tcPr>
            <w:tcW w:type="dxa" w:w="3685"/>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Esforço e escolha com e sem a condição.</w:t>
            </w:r>
          </w:p>
        </w:tc>
        <w:tc>
          <w:tcPr>
            <w:tcW w:type="dxa" w:w="3742"/>
            <w:vAlign w:val="center"/>
          </w:tcPr>
          <w:p>
            <w:pPr>
              <w:keepNext/>
              <w:spacing w:line="360" w:lineRule="auto" w:before="0" w:after="0"/>
              <w:ind w:firstLine="0" w:left="0" w:right="0"/>
              <w:jc w:val="both"/>
            </w:pPr>
            <w:r>
              <w:rPr>
                <w:rFonts w:ascii="Times New Roman" w:hAnsi="Times New Roman" w:eastAsia="Times New Roman" w:cs="Times New Roman"/>
                <w:b w:val="0"/>
                <w:i w:val="0"/>
                <w:color w:val="000000"/>
                <w:sz w:val="24"/>
                <w:lang w:val="pt-BR"/>
              </w:rPr>
              <w:t>Nexo entre restrição e alternativas explicado.</w:t>
            </w:r>
          </w:p>
        </w:tc>
      </w:tr>
    </w:tbl>
    <w:p>
      <w:pPr>
        <w:keepNext w:val="0"/>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Fonte: elaboração própria. Proposta de registro, sem resultados de campo.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prazo merece registro próprio, pois horas de trabalho e dias de calendário medem coisas diferentes. Tarefas paralelas não devem ter suas durações somadas; uma espera pode atrasar a conclusão sem consumir trabalho contínuo. Para explicar o tempo necessário, registram-se a sequência que determina a conclusão, os responsáveis, as esperas, a preparação anterior e o suporte disponível.</w:t>
      </w:r>
    </w:p>
    <w:p>
      <w:pPr>
        <w:keepNext w:val="0"/>
        <w:widowControl/>
        <w:spacing w:before="0" w:after="0" w:line="360" w:lineRule="auto"/>
        <w:ind w:left="0" w:right="0" w:firstLine="0"/>
        <w:jc w:val="both"/>
      </w:pPr>
      <w:r>
        <w:rPr>
          <w:rFonts w:ascii="Times New Roman" w:hAnsi="Times New Roman"/>
          <w:color w:val="000000"/>
          <w:sz w:val="24"/>
        </w:rPr>
        <w:t>A margem temporal M = J − T expressa a diferença entre a janela disponível J e o prazo de transição T. Quando T é um intervalo, a classificação é conservadora: a transição é viável se até o maior prazo cabe em J; inviável no prazo se nem o menor cabe; e indeterminada nos demais casos. Essa convenção organiza a decisão, sem criar obrigação legal. Em qualquer cenário, atender ao prazo não dispensa as proteções exigíveis.</w:t>
      </w:r>
    </w:p>
    <w:p>
      <w:pPr>
        <w:keepNext w:val="0"/>
        <w:widowControl/>
        <w:spacing w:before="0" w:after="0" w:line="360" w:lineRule="auto"/>
        <w:ind w:left="0" w:right="0" w:firstLine="0"/>
        <w:jc w:val="both"/>
      </w:pPr>
      <w:r>
        <w:rPr>
          <w:rFonts w:ascii="Times New Roman" w:hAnsi="Times New Roman"/>
          <w:color w:val="000000"/>
          <w:sz w:val="24"/>
        </w:rPr>
        <w:t>Uma condição é decisiva para o prazo quando sua retirada torna viável a mesma alternativa apta, em situações comparáveis. Se a transição já cabia na janela, a retirada pode reduzir custos ou melhorar qualidade, mas não demonstra exclusão temporal. Se ainda não cabe, a retirada isolada foi insuficiente. Isso não torna a restrição irrelevante: outro obstáculo pode encobrir seu efeito. Um resultado indeterminado também exige mais informação antes de concluir.</w:t>
      </w:r>
    </w:p>
    <w:p>
      <w:pPr>
        <w:keepNext w:val="0"/>
        <w:widowControl/>
        <w:spacing w:before="0" w:after="0" w:line="360" w:lineRule="auto"/>
        <w:ind w:left="0" w:right="0" w:firstLine="0"/>
        <w:jc w:val="both"/>
      </w:pPr>
      <w:r>
        <w:rPr>
          <w:rFonts w:ascii="Times New Roman" w:hAnsi="Times New Roman"/>
          <w:color w:val="000000"/>
          <w:sz w:val="24"/>
        </w:rPr>
        <w:t>O módulo decisório distinguiu oito contrastes: mudança de viabilidade, janela ampla, ganho insuficiente, prazo incerto, falha ou desconhecimento da proteção, mudança de equipe e chegada ao limite. No cenário cumulativo, os prazos são 16 dias com dois obstáculos, 14 ou 13 retirando um, e 8 retirando ambos, para J = 10. Só a retirada conjunta viabiliza a tarefa. São premissas hipotéticas, não tempos escolares observados.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5.4. Aplicação sintética à transferência de uma devolutiva escolar</w:t>
      </w:r>
    </w:p>
    <w:p>
      <w:pPr>
        <w:keepNext w:val="0"/>
        <w:widowControl/>
        <w:spacing w:before="0" w:after="0" w:line="360" w:lineRule="auto"/>
        <w:ind w:left="0" w:right="0" w:firstLine="0"/>
        <w:jc w:val="both"/>
      </w:pPr>
      <w:r>
        <w:rPr>
          <w:rFonts w:ascii="Times New Roman" w:hAnsi="Times New Roman"/>
          <w:color w:val="000000"/>
          <w:sz w:val="24"/>
        </w:rPr>
        <w:t>Para observar esses controles, o modelo em Python representa dois estudantes fictícios, uma turma, uma rubrica e uma devolutiva de avaliação. Os mesmos dados são importados de CSV e JSON aninhado para uma estrutura comum. Antes de introduzir falhas, um manifesto define os registros e a finalidade esperados. A verificação abrange nove critérios: integridade dos registros e vínculos, minimização, finalidade, privacidade, aprovação, escopo, credenciais, revogação e rastreabilidade.</w:t>
      </w:r>
    </w:p>
    <w:p>
      <w:pPr>
        <w:keepNext w:val="0"/>
        <w:widowControl/>
        <w:spacing w:before="0" w:after="0" w:line="360" w:lineRule="auto"/>
        <w:ind w:left="0" w:right="0" w:firstLine="0"/>
        <w:jc w:val="both"/>
      </w:pPr>
      <w:r>
        <w:rPr>
          <w:rFonts w:ascii="Times New Roman" w:hAnsi="Times New Roman"/>
          <w:color w:val="000000"/>
          <w:sz w:val="24"/>
        </w:rPr>
        <w:t>Em cada formato, testaram-se três condições válidas: a base original, a reordenação de campos e registros e a renomeação coerente de identificadores, acompanhada do manifesto correspondente. Também foram introduzidos, um por vez após a importação, quatorze defeitos por formato, totalizando 34 condições. Sem receber o nome ou o resultado esperado do cenário, o classificador verifica publicação antes e depois da aprovação, leitura por terceiros, atuação sobre outro estudante e publicação após revogação. O Quadro 2 registra os efeitos e controles testados em 7 de outubro de 2026.</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Quadro 2 — Resultados da demonstração sintética</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665"/>
        <w:gridCol w:w="850"/>
        <w:gridCol w:w="3685"/>
        <w:gridCol w:w="1871"/>
      </w:tblGrid>
      <w:tr>
        <w:trPr>
          <w:cantSplit/>
          <w:tblHeader/>
        </w:trPr>
        <w:tc>
          <w:tcPr>
            <w:tcW w:type="dxa" w:w="2665"/>
            <w:vAlign w:val="center"/>
            <w:shd w:fill="F0F0F0"/>
          </w:tcPr>
          <w:p>
            <w:pPr>
              <w:keepNext/>
              <w:spacing w:before="0" w:after="0" w:line="360" w:lineRule="auto"/>
              <w:ind w:firstLine="0" w:left="0" w:right="0"/>
              <w:jc w:val="both"/>
            </w:pPr>
            <w:r>
              <w:rPr>
                <w:rFonts w:ascii="Times New Roman" w:hAnsi="Times New Roman"/>
                <w:color w:val="000000"/>
                <w:sz w:val="24"/>
              </w:rPr>
              <w:t>Condição</w:t>
            </w:r>
          </w:p>
        </w:tc>
        <w:tc>
          <w:tcPr>
            <w:tcW w:type="dxa" w:w="850"/>
            <w:vAlign w:val="center"/>
            <w:shd w:fill="F0F0F0"/>
          </w:tcPr>
          <w:p>
            <w:pPr>
              <w:keepNext/>
              <w:spacing w:before="0" w:after="0" w:line="360" w:lineRule="auto"/>
              <w:ind w:firstLine="0" w:left="0" w:right="0"/>
              <w:jc w:val="both"/>
            </w:pPr>
            <w:r>
              <w:rPr>
                <w:rFonts w:ascii="Times New Roman" w:hAnsi="Times New Roman"/>
                <w:color w:val="000000"/>
                <w:sz w:val="24"/>
              </w:rPr>
              <w:t>N</w:t>
            </w:r>
          </w:p>
        </w:tc>
        <w:tc>
          <w:tcPr>
            <w:tcW w:type="dxa" w:w="3685"/>
            <w:vAlign w:val="center"/>
            <w:shd w:fill="F0F0F0"/>
          </w:tcPr>
          <w:p>
            <w:pPr>
              <w:keepNext/>
              <w:spacing w:before="0" w:after="0" w:line="360" w:lineRule="auto"/>
              <w:ind w:firstLine="0" w:left="0" w:right="0"/>
              <w:jc w:val="both"/>
            </w:pPr>
            <w:r>
              <w:rPr>
                <w:rFonts w:ascii="Times New Roman" w:hAnsi="Times New Roman"/>
                <w:color w:val="000000"/>
                <w:sz w:val="24"/>
              </w:rPr>
              <w:t>Critério principal</w:t>
            </w:r>
          </w:p>
        </w:tc>
        <w:tc>
          <w:tcPr>
            <w:tcW w:type="dxa" w:w="1871"/>
            <w:vAlign w:val="center"/>
            <w:shd w:fill="F0F0F0"/>
          </w:tcPr>
          <w:p>
            <w:pPr>
              <w:keepNext/>
              <w:spacing w:before="0" w:after="0" w:line="360" w:lineRule="auto"/>
              <w:ind w:firstLine="0" w:left="0" w:right="0"/>
              <w:jc w:val="both"/>
            </w:pPr>
            <w:r>
              <w:rPr>
                <w:rFonts w:ascii="Times New Roman" w:hAnsi="Times New Roman"/>
                <w:color w:val="000000"/>
                <w:sz w:val="24"/>
              </w:rPr>
              <w:t>Resultado</w:t>
            </w:r>
          </w:p>
        </w:tc>
      </w:tr>
      <w:tr>
        <w:trPr>
          <w:cantSplit/>
        </w:trPr>
        <w:tc>
          <w:tcPr>
            <w:tcW w:type="dxa" w:w="2665"/>
            <w:vAlign w:val="center"/>
          </w:tcPr>
          <w:p>
            <w:pPr>
              <w:keepNext/>
              <w:spacing w:before="0" w:after="0" w:line="360" w:lineRule="auto"/>
              <w:ind w:firstLine="0" w:left="0" w:right="0"/>
              <w:jc w:val="both"/>
            </w:pPr>
            <w:r>
              <w:rPr>
                <w:rFonts w:ascii="Times New Roman" w:hAnsi="Times New Roman"/>
                <w:color w:val="000000"/>
                <w:sz w:val="24"/>
              </w:rPr>
              <w:t>Controles válidos em CSV e JSON</w:t>
            </w:r>
          </w:p>
        </w:tc>
        <w:tc>
          <w:tcPr>
            <w:tcW w:type="dxa" w:w="850"/>
            <w:vAlign w:val="center"/>
          </w:tcPr>
          <w:p>
            <w:pPr>
              <w:keepNext/>
              <w:spacing w:before="0" w:after="0" w:line="360" w:lineRule="auto"/>
              <w:ind w:firstLine="0" w:left="0" w:right="0"/>
              <w:jc w:val="both"/>
            </w:pPr>
            <w:r>
              <w:rPr>
                <w:rFonts w:ascii="Times New Roman" w:hAnsi="Times New Roman"/>
                <w:color w:val="000000"/>
                <w:sz w:val="24"/>
              </w:rPr>
              <w:t>6</w:t>
            </w:r>
          </w:p>
        </w:tc>
        <w:tc>
          <w:tcPr>
            <w:tcW w:type="dxa" w:w="3685"/>
            <w:vAlign w:val="center"/>
          </w:tcPr>
          <w:p>
            <w:pPr>
              <w:keepNext/>
              <w:spacing w:before="0" w:after="0" w:line="360" w:lineRule="auto"/>
              <w:ind w:firstLine="0" w:left="0" w:right="0"/>
              <w:jc w:val="both"/>
            </w:pPr>
            <w:r>
              <w:rPr>
                <w:rFonts w:ascii="Times New Roman" w:hAnsi="Times New Roman"/>
                <w:color w:val="000000"/>
                <w:sz w:val="24"/>
              </w:rPr>
              <w:t>Base, ordem e identificadores.</w:t>
            </w:r>
          </w:p>
        </w:tc>
        <w:tc>
          <w:tcPr>
            <w:tcW w:type="dxa" w:w="1871"/>
            <w:vAlign w:val="center"/>
          </w:tcPr>
          <w:p>
            <w:pPr>
              <w:keepNext/>
              <w:spacing w:before="0" w:after="0" w:line="360" w:lineRule="auto"/>
              <w:ind w:firstLine="0" w:left="0" w:right="0"/>
              <w:jc w:val="both"/>
            </w:pPr>
            <w:r>
              <w:rPr>
                <w:rFonts w:ascii="Times New Roman" w:hAnsi="Times New Roman"/>
                <w:color w:val="000000"/>
                <w:sz w:val="24"/>
              </w:rPr>
              <w:t>Aceitas</w:t>
            </w:r>
          </w:p>
        </w:tc>
      </w:tr>
      <w:tr>
        <w:trPr>
          <w:cantSplit/>
        </w:trPr>
        <w:tc>
          <w:tcPr>
            <w:tcW w:type="dxa" w:w="2665"/>
            <w:vAlign w:val="center"/>
          </w:tcPr>
          <w:p>
            <w:pPr>
              <w:keepNext/>
              <w:spacing w:before="0" w:after="0" w:line="360" w:lineRule="auto"/>
              <w:ind w:firstLine="0" w:left="0" w:right="0"/>
              <w:jc w:val="both"/>
            </w:pPr>
            <w:r>
              <w:rPr>
                <w:rFonts w:ascii="Times New Roman" w:hAnsi="Times New Roman"/>
                <w:color w:val="000000"/>
                <w:sz w:val="24"/>
              </w:rPr>
              <w:t>Integridade e vínculos</w:t>
            </w:r>
          </w:p>
        </w:tc>
        <w:tc>
          <w:tcPr>
            <w:tcW w:type="dxa" w:w="850"/>
            <w:vAlign w:val="center"/>
          </w:tcPr>
          <w:p>
            <w:pPr>
              <w:keepNext/>
              <w:spacing w:before="0" w:after="0" w:line="360" w:lineRule="auto"/>
              <w:ind w:firstLine="0" w:left="0" w:right="0"/>
              <w:jc w:val="both"/>
            </w:pPr>
            <w:r>
              <w:rPr>
                <w:rFonts w:ascii="Times New Roman" w:hAnsi="Times New Roman"/>
                <w:color w:val="000000"/>
                <w:sz w:val="24"/>
              </w:rPr>
              <w:t>10</w:t>
            </w:r>
          </w:p>
        </w:tc>
        <w:tc>
          <w:tcPr>
            <w:tcW w:type="dxa" w:w="3685"/>
            <w:vAlign w:val="center"/>
          </w:tcPr>
          <w:p>
            <w:pPr>
              <w:keepNext/>
              <w:spacing w:before="0" w:after="0" w:line="360" w:lineRule="auto"/>
              <w:ind w:firstLine="0" w:left="0" w:right="0"/>
              <w:jc w:val="both"/>
            </w:pPr>
            <w:r>
              <w:rPr>
                <w:rFonts w:ascii="Times New Roman" w:hAnsi="Times New Roman"/>
                <w:color w:val="000000"/>
                <w:sz w:val="24"/>
              </w:rPr>
              <w:t>Vínculos, duplicação ou conteúdo.</w:t>
            </w:r>
          </w:p>
        </w:tc>
        <w:tc>
          <w:tcPr>
            <w:tcW w:type="dxa" w:w="1871"/>
            <w:vAlign w:val="center"/>
          </w:tcPr>
          <w:p>
            <w:pPr>
              <w:keepNext/>
              <w:spacing w:before="0" w:after="0" w:line="360" w:lineRule="auto"/>
              <w:ind w:firstLine="0" w:left="0" w:right="0"/>
              <w:jc w:val="both"/>
            </w:pPr>
            <w:r>
              <w:rPr>
                <w:rFonts w:ascii="Times New Roman" w:hAnsi="Times New Roman"/>
                <w:color w:val="000000"/>
                <w:sz w:val="24"/>
              </w:rPr>
              <w:t>Reprovadas</w:t>
            </w:r>
          </w:p>
        </w:tc>
      </w:tr>
      <w:tr>
        <w:trPr>
          <w:cantSplit/>
        </w:trPr>
        <w:tc>
          <w:tcPr>
            <w:tcW w:type="dxa" w:w="2665"/>
            <w:vAlign w:val="center"/>
          </w:tcPr>
          <w:p>
            <w:pPr>
              <w:keepNext/>
              <w:spacing w:before="0" w:after="0" w:line="360" w:lineRule="auto"/>
              <w:ind w:firstLine="0" w:left="0" w:right="0"/>
              <w:jc w:val="both"/>
            </w:pPr>
            <w:r>
              <w:rPr>
                <w:rFonts w:ascii="Times New Roman" w:hAnsi="Times New Roman"/>
                <w:color w:val="000000"/>
                <w:sz w:val="24"/>
              </w:rPr>
              <w:t>Dados e finalidade</w:t>
            </w:r>
          </w:p>
        </w:tc>
        <w:tc>
          <w:tcPr>
            <w:tcW w:type="dxa" w:w="850"/>
            <w:vAlign w:val="center"/>
          </w:tcPr>
          <w:p>
            <w:pPr>
              <w:keepNext/>
              <w:spacing w:before="0" w:after="0" w:line="360" w:lineRule="auto"/>
              <w:ind w:firstLine="0" w:left="0" w:right="0"/>
              <w:jc w:val="both"/>
            </w:pPr>
            <w:r>
              <w:rPr>
                <w:rFonts w:ascii="Times New Roman" w:hAnsi="Times New Roman"/>
                <w:color w:val="000000"/>
                <w:sz w:val="24"/>
              </w:rPr>
              <w:t>6</w:t>
            </w:r>
          </w:p>
        </w:tc>
        <w:tc>
          <w:tcPr>
            <w:tcW w:type="dxa" w:w="3685"/>
            <w:vAlign w:val="center"/>
          </w:tcPr>
          <w:p>
            <w:pPr>
              <w:keepNext/>
              <w:spacing w:before="0" w:after="0" w:line="360" w:lineRule="auto"/>
              <w:ind w:firstLine="0" w:left="0" w:right="0"/>
              <w:jc w:val="both"/>
            </w:pPr>
            <w:r>
              <w:rPr>
                <w:rFonts w:ascii="Times New Roman" w:hAnsi="Times New Roman"/>
                <w:color w:val="000000"/>
                <w:sz w:val="24"/>
              </w:rPr>
              <w:t>Campos excessivos ou novo uso.</w:t>
            </w:r>
          </w:p>
        </w:tc>
        <w:tc>
          <w:tcPr>
            <w:tcW w:type="dxa" w:w="1871"/>
            <w:vAlign w:val="center"/>
          </w:tcPr>
          <w:p>
            <w:pPr>
              <w:keepNext/>
              <w:spacing w:before="0" w:after="0" w:line="360" w:lineRule="auto"/>
              <w:ind w:firstLine="0" w:left="0" w:right="0"/>
              <w:jc w:val="both"/>
            </w:pPr>
            <w:r>
              <w:rPr>
                <w:rFonts w:ascii="Times New Roman" w:hAnsi="Times New Roman"/>
                <w:color w:val="000000"/>
                <w:sz w:val="24"/>
              </w:rPr>
              <w:t>Reprovadas</w:t>
            </w:r>
          </w:p>
        </w:tc>
      </w:tr>
      <w:tr>
        <w:trPr>
          <w:cantSplit/>
        </w:trPr>
        <w:tc>
          <w:tcPr>
            <w:tcW w:type="dxa" w:w="2665"/>
            <w:vAlign w:val="center"/>
          </w:tcPr>
          <w:p>
            <w:pPr>
              <w:keepNext/>
              <w:spacing w:before="0" w:after="0" w:line="360" w:lineRule="auto"/>
              <w:ind w:firstLine="0" w:left="0" w:right="0"/>
              <w:jc w:val="both"/>
            </w:pPr>
            <w:r>
              <w:rPr>
                <w:rFonts w:ascii="Times New Roman" w:hAnsi="Times New Roman"/>
                <w:color w:val="000000"/>
                <w:sz w:val="24"/>
              </w:rPr>
              <w:t>Privacidade e ações</w:t>
            </w:r>
          </w:p>
        </w:tc>
        <w:tc>
          <w:tcPr>
            <w:tcW w:type="dxa" w:w="850"/>
            <w:vAlign w:val="center"/>
          </w:tcPr>
          <w:p>
            <w:pPr>
              <w:keepNext/>
              <w:spacing w:before="0" w:after="0" w:line="360" w:lineRule="auto"/>
              <w:ind w:firstLine="0" w:left="0" w:right="0"/>
              <w:jc w:val="both"/>
            </w:pPr>
            <w:r>
              <w:rPr>
                <w:rFonts w:ascii="Times New Roman" w:hAnsi="Times New Roman"/>
                <w:color w:val="000000"/>
                <w:sz w:val="24"/>
              </w:rPr>
              <w:t>8</w:t>
            </w:r>
          </w:p>
        </w:tc>
        <w:tc>
          <w:tcPr>
            <w:tcW w:type="dxa" w:w="3685"/>
            <w:vAlign w:val="center"/>
          </w:tcPr>
          <w:p>
            <w:pPr>
              <w:keepNext/>
              <w:spacing w:before="0" w:after="0" w:line="360" w:lineRule="auto"/>
              <w:ind w:firstLine="0" w:left="0" w:right="0"/>
              <w:jc w:val="both"/>
            </w:pPr>
            <w:r>
              <w:rPr>
                <w:rFonts w:ascii="Times New Roman" w:hAnsi="Times New Roman"/>
                <w:color w:val="000000"/>
                <w:sz w:val="24"/>
              </w:rPr>
              <w:t>Exposição, aprovação, escopo ou revogação.</w:t>
            </w:r>
          </w:p>
        </w:tc>
        <w:tc>
          <w:tcPr>
            <w:tcW w:type="dxa" w:w="1871"/>
            <w:vAlign w:val="center"/>
          </w:tcPr>
          <w:p>
            <w:pPr>
              <w:keepNext/>
              <w:spacing w:before="0" w:after="0" w:line="360" w:lineRule="auto"/>
              <w:ind w:firstLine="0" w:left="0" w:right="0"/>
              <w:jc w:val="both"/>
            </w:pPr>
            <w:r>
              <w:rPr>
                <w:rFonts w:ascii="Times New Roman" w:hAnsi="Times New Roman"/>
                <w:color w:val="000000"/>
                <w:sz w:val="24"/>
              </w:rPr>
              <w:t>Reprovadas</w:t>
            </w:r>
          </w:p>
        </w:tc>
      </w:tr>
      <w:tr>
        <w:trPr>
          <w:cantSplit/>
        </w:trPr>
        <w:tc>
          <w:tcPr>
            <w:tcW w:type="dxa" w:w="2665"/>
            <w:vAlign w:val="center"/>
          </w:tcPr>
          <w:p>
            <w:pPr>
              <w:keepNext w:val="0"/>
              <w:spacing w:before="0" w:after="0" w:line="360" w:lineRule="auto"/>
              <w:ind w:firstLine="0" w:left="0" w:right="0"/>
              <w:jc w:val="both"/>
            </w:pPr>
            <w:r>
              <w:rPr>
                <w:rFonts w:ascii="Times New Roman" w:hAnsi="Times New Roman"/>
                <w:color w:val="000000"/>
                <w:sz w:val="24"/>
              </w:rPr>
              <w:t>Credenciais e trilha</w:t>
            </w:r>
          </w:p>
        </w:tc>
        <w:tc>
          <w:tcPr>
            <w:tcW w:type="dxa" w:w="850"/>
            <w:vAlign w:val="center"/>
          </w:tcPr>
          <w:p>
            <w:pPr>
              <w:keepNext w:val="0"/>
              <w:spacing w:before="0" w:after="0" w:line="360" w:lineRule="auto"/>
              <w:ind w:firstLine="0" w:left="0" w:right="0"/>
              <w:jc w:val="both"/>
            </w:pPr>
            <w:r>
              <w:rPr>
                <w:rFonts w:ascii="Times New Roman" w:hAnsi="Times New Roman"/>
                <w:color w:val="000000"/>
                <w:sz w:val="24"/>
              </w:rPr>
              <w:t>4</w:t>
            </w:r>
          </w:p>
        </w:tc>
        <w:tc>
          <w:tcPr>
            <w:tcW w:type="dxa" w:w="3685"/>
            <w:vAlign w:val="center"/>
          </w:tcPr>
          <w:p>
            <w:pPr>
              <w:keepNext w:val="0"/>
              <w:spacing w:before="0" w:after="0" w:line="360" w:lineRule="auto"/>
              <w:ind w:firstLine="0" w:left="0" w:right="0"/>
              <w:jc w:val="both"/>
            </w:pPr>
            <w:r>
              <w:rPr>
                <w:rFonts w:ascii="Times New Roman" w:hAnsi="Times New Roman"/>
                <w:color w:val="000000"/>
                <w:sz w:val="24"/>
              </w:rPr>
              <w:t>Credencial herdada ou registro ausente.</w:t>
            </w:r>
          </w:p>
        </w:tc>
        <w:tc>
          <w:tcPr>
            <w:tcW w:type="dxa" w:w="1871"/>
            <w:vAlign w:val="center"/>
          </w:tcPr>
          <w:p>
            <w:pPr>
              <w:keepNext w:val="0"/>
              <w:spacing w:before="0" w:after="0" w:line="360" w:lineRule="auto"/>
              <w:ind w:firstLine="0" w:left="0" w:right="0"/>
              <w:jc w:val="both"/>
            </w:pPr>
            <w:r>
              <w:rPr>
                <w:rFonts w:ascii="Times New Roman" w:hAnsi="Times New Roman"/>
                <w:color w:val="000000"/>
                <w:sz w:val="24"/>
              </w:rPr>
              <w:t>Reprovadas</w:t>
            </w:r>
          </w:p>
        </w:tc>
      </w:tr>
    </w:tbl>
    <w:p>
      <w:pPr>
        <w:keepNext w:val="0"/>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Fonte: execução local com dados sintéticos, 7 out. 2026. N indica condições construídas, não amostra de escolas.</w:t>
      </w:r>
    </w:p>
    <w:p>
      <w:pPr>
        <w:keepNext w:val="0"/>
        <w:widowControl/>
        <w:spacing w:before="0" w:after="0" w:line="360" w:lineRule="auto"/>
        <w:ind w:left="0" w:right="0" w:firstLine="0"/>
        <w:jc w:val="both"/>
      </w:pPr>
      <w:r>
        <w:rPr>
          <w:rFonts w:ascii="Times New Roman" w:hAnsi="Times New Roman"/>
          <w:color w:val="000000"/>
          <w:sz w:val="24"/>
        </w:rPr>
        <w:t>Os seis controles válidos foram aceitos e as 28 condições defeituosas, reprovadas, inclusive com renomeação coerente de identificadores. O suplemento anônimo contém código, entradas, resultados e verificadores de integridade. A demonstração sintética roda em Python 3.10 ou superior, sem dependências externas; a reanálise e o laboratório têm instruções próprias. Seu envio depende de admissão editorial; os elementos essenciais estão no manuscrito.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5.5. Ensaio em Moodle e decisão de aceitação</w:t>
      </w:r>
    </w:p>
    <w:p>
      <w:pPr>
        <w:keepNext w:val="0"/>
        <w:widowControl/>
        <w:spacing w:before="0" w:after="0" w:line="360" w:lineRule="auto"/>
        <w:ind w:left="0" w:right="0" w:firstLine="0"/>
        <w:jc w:val="both"/>
      </w:pPr>
      <w:r>
        <w:rPr>
          <w:rFonts w:ascii="Times New Roman" w:hAnsi="Times New Roman"/>
          <w:color w:val="000000"/>
          <w:sz w:val="24"/>
        </w:rPr>
        <w:t>O ensaio utilizou Moodle 4.5.7, PHP 8.3 e MariaDB 10.11, com bancos e diretórios independentes. Backup e restauração nativos transferiram curso, dois estudantes, docente, matrículas, notas, devolutivas e arquivo (Moodle, [s.d.]). Compararam-se vínculos, valores, textos e hash; os IDs mudaram. A API nativa de notas operou sob perfis distintos, por linha de comando, sem autenticação HTTP.</w:t>
      </w:r>
    </w:p>
    <w:p>
      <w:pPr>
        <w:keepNext w:val="0"/>
        <w:widowControl/>
        <w:spacing w:before="0" w:after="0" w:line="360" w:lineRule="auto"/>
        <w:ind w:left="0" w:right="0" w:firstLine="0"/>
        <w:jc w:val="both"/>
      </w:pPr>
      <w:r>
        <w:rPr>
          <w:rFonts w:ascii="Times New Roman" w:hAnsi="Times New Roman"/>
          <w:color w:val="000000"/>
          <w:sz w:val="24"/>
        </w:rPr>
        <w:t>As seis restaurações iniciais foram reproduzidas em ambiente reconstruído. A íntegra e a condição após revogação foram aceitas. A conferência de registros detectou nota ausente, notas trocadas e arquivo ausente, mas aceitaria o estudante com papel docente. O teste de acesso identificou essa quarta falha. Trata-se de comparação com conferência de dados, não de superioridade sobre auditorias completas. Todas as falhas foram inseridas deliberadamente.</w:t>
      </w:r>
    </w:p>
    <w:p>
      <w:pPr>
        <w:keepNext w:val="0"/>
        <w:widowControl/>
        <w:spacing w:before="0" w:after="0" w:line="360" w:lineRule="auto"/>
        <w:ind w:left="0" w:right="0" w:firstLine="0"/>
        <w:jc w:val="both"/>
      </w:pPr>
      <w:r>
        <w:t>Em nova restauração, o ciclo passou por quatro etapas: íntegra; papel docente atribuído ao estudante no curso e na categoria; retirada apenas no curso; retirada também na categoria. Notas, vínculos, textos e arquivo permaneceram idênticos. As leituras legítimas funcionaram sempre; a leitura alheia foi bloqueada, permitida, permitida e bloqueada, respectivamente. A regra autorizou a aceitação apenas na primeira e na última etapa. A correção parcial falhou porque o papel era herdado da categoria. O ciclo foi planejado após os resultados iniciais, sem avaliação independente.</w:t>
      </w:r>
    </w:p>
    <w:p>
      <w:pPr>
        <w:keepNext w:val="0"/>
        <w:widowControl/>
        <w:spacing w:before="0" w:after="0" w:line="360" w:lineRule="auto"/>
        <w:ind w:left="0" w:right="0" w:firstLine="0"/>
        <w:jc w:val="both"/>
      </w:pPr>
      <w:r>
        <w:rPr>
          <w:rFonts w:ascii="Times New Roman" w:hAnsi="Times New Roman"/>
          <w:color w:val="000000"/>
          <w:sz w:val="24"/>
        </w:rPr>
        <w:t>A comparação mostra a utilidade do controle para a aceitação técnica. As quatro observações do mesmo curso não estimam frequência ou acurácia externa. O ensaio não cobre todas as proteções, troca entre produtos ou contratação. Sua utilidade em escolas exige observar suporte, custos, continuidade e escolha. A seção 4.4 não demonstra adoção do protocolo pela CMA.</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6. Concorrência, justificativas e medidas proporcionais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6.1. Custos de troca e condições de disputa</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Custos de troca vinculam compradores e alteram a disputa pela base instalada (Farrell; Klemperer, 2006, seção 2). A comparação escolar inclui licenças futuras, integração, validação, atendimento provisório e aprendizado adicional; exclui custos irrecuperáveis já realizados e contagens duplicadas. Ausência de licença paga não elimina custo de integração.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art. 36 da Lei nº 12.529/2011 alcança atos que tenham por objeto ou possam produzir os efeitos previstos no caput, ainda que não realizados. As condutas do § 3º dependem desse enquadramento; a conquista de mercado por maior eficiência recebe a ressalva do § 1º (Brasil, 2011). A evidência produzida pelo protocolo deve ser integrada a esses pressupostos jurídicos.</w:t>
      </w:r>
    </w:p>
    <w:p>
      <w:pPr>
        <w:keepNext w:val="0"/>
        <w:widowControl/>
        <w:spacing w:before="0" w:after="0" w:line="360" w:lineRule="auto"/>
        <w:ind w:left="0" w:right="0" w:firstLine="0"/>
        <w:jc w:val="both"/>
      </w:pPr>
      <w:r>
        <w:rPr>
          <w:rFonts w:ascii="Times New Roman" w:hAnsi="Times New Roman"/>
          <w:color w:val="000000"/>
          <w:sz w:val="24"/>
        </w:rPr>
        <w:t>Essa passagem exige identificar quais ofertas podem se substituir, o fornecimento controlado e a capacidade de impor a condição. Trocar uma plataforma inteira e integrar um aplicativo complementar pode envolver mercados distintos. A dependência técnica de uma escola, sozinha, não demonstra poder de mercado. Para sustentar essa conclusão, são necessários contratos, alternativas disponíveis, possibilidades de negociação e condições de entrada.</w:t>
      </w:r>
    </w:p>
    <w:p>
      <w:pPr>
        <w:keepNext w:val="0"/>
        <w:widowControl/>
        <w:spacing w:before="0" w:after="0" w:line="360" w:lineRule="auto"/>
        <w:ind w:left="0" w:right="0" w:firstLine="0"/>
        <w:jc w:val="both"/>
      </w:pPr>
      <w:r>
        <w:rPr>
          <w:rFonts w:ascii="Times New Roman" w:hAnsi="Times New Roman"/>
          <w:color w:val="000000"/>
          <w:sz w:val="24"/>
        </w:rPr>
        <w:t>O raciocínio concorrencial percorre duas etapas: relaciona a condição à perda de uma alternativa utilizável e examina como essa perda afeta a disputa. Mesmo podendo migrar, a escola pode preferir permanecer por preço ou qualidade. Uma proposta rival, por sua vez, pode melhorar a negociação da renovação sem resultar em troca. Propostas, desistências e condições negociadas oferecem, assim, evidências que a contagem de migrações não alcança.</w:t>
      </w:r>
    </w:p>
    <w:p>
      <w:pPr>
        <w:spacing w:before="0" w:after="0" w:line="360" w:lineRule="auto"/>
        <w:ind w:firstLine="0" w:left="0" w:right="0"/>
        <w:jc w:val="both"/>
      </w:pPr>
      <w:r>
        <w:rPr>
          <w:rFonts w:ascii="Times New Roman" w:hAnsi="Times New Roman"/>
          <w:color w:val="000000"/>
          <w:sz w:val="24"/>
        </w:rPr>
        <w:t>Meta Platforms admite examinar o tratamento de dados quando necessário à análise de abuso, com cooperação e respeito às decisões das autoridades competentes (TJUE, 2023, §§ 48–63). O precedente não cria competência brasileira nem converte violação de dados em infração concorrencial automática; a relação entre os regimes exige demonstrar os pressupostos de cada um.</w:t>
      </w:r>
    </w:p>
    <w:p>
      <w:pPr>
        <w:keepNext w:val="0"/>
        <w:widowControl/>
        <w:spacing w:before="0" w:after="0" w:line="360" w:lineRule="auto"/>
        <w:ind w:left="0" w:right="0" w:firstLine="0"/>
        <w:jc w:val="both"/>
      </w:pPr>
      <w:r>
        <w:rPr>
          <w:rFonts w:ascii="Times New Roman" w:hAnsi="Times New Roman"/>
          <w:color w:val="000000"/>
          <w:sz w:val="24"/>
        </w:rPr>
        <w:t>Compras centralizadas contam como decisões da unidade contratante, não como escolhas independentes de cada escola. A investigação relaciona contratos expostos à condição às oportunidades no mercado e período definidos, distinguindo renovação e primeira contratação. Repetição da cláusula, custos de integração e acesso à base instalada podem sustentar um mecanismo de fechamento; a demonstração requer alcance e alternativas, não apenas contagem de escolas.</w:t>
      </w:r>
    </w:p>
    <w:p>
      <w:pPr>
        <w:keepNext w:val="0"/>
        <w:widowControl/>
        <w:spacing w:before="0" w:after="0" w:line="360" w:lineRule="auto"/>
        <w:ind w:left="0" w:right="0" w:firstLine="0"/>
        <w:jc w:val="both"/>
      </w:pPr>
      <w:r>
        <w:rPr>
          <w:rFonts w:ascii="Times New Roman" w:hAnsi="Times New Roman"/>
          <w:color w:val="000000"/>
          <w:sz w:val="24"/>
        </w:rPr>
        <w:t>Ponce (2020, p. 161–164) distingue relevância, essencialidade e justificativas: um recurso necessário à tarefa não se torna automaticamente infraestrutura essencial. A natureza do acesso e o fundamento da obrigação devem ser examinados antes de propor um remédio.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6.2. Eficiências, segurança e falsos positivos</w:t>
      </w:r>
    </w:p>
    <w:p>
      <w:pPr>
        <w:keepNext w:val="0"/>
        <w:widowControl/>
        <w:spacing w:before="0" w:after="0" w:line="360" w:lineRule="auto"/>
        <w:ind w:left="0" w:right="0" w:firstLine="0"/>
        <w:jc w:val="both"/>
      </w:pPr>
      <w:r>
        <w:rPr>
          <w:rFonts w:ascii="Times New Roman" w:hAnsi="Times New Roman"/>
          <w:color w:val="000000"/>
          <w:sz w:val="24"/>
        </w:rPr>
        <w:t>Em Android Auto, o TJUE distinguiu infraestrutura de uso próprio e plataforma aberta a terceiros, afastando, nesta última situação, a indispensabilidade como requisito da análise examinada. Segurança, integridade e impossibilidade técnica podem justificar recusa; dificuldades de desenvolvimento exigem considerar prazo razoável e remuneração proporcional (TJUE, 2025, §§ 44–52 e 73–80). O acórdão prejudicial interpreta direito europeu, sem impor obrigação a plataformas escolares brasileiras.</w:t>
      </w:r>
    </w:p>
    <w:p>
      <w:pPr>
        <w:keepNext w:val="0"/>
        <w:widowControl/>
        <w:spacing w:before="0" w:after="0" w:line="360" w:lineRule="auto"/>
        <w:ind w:left="0" w:right="0" w:firstLine="0"/>
        <w:jc w:val="both"/>
      </w:pPr>
      <w:r>
        <w:rPr>
          <w:rFonts w:ascii="Times New Roman" w:hAnsi="Times New Roman"/>
          <w:color w:val="000000"/>
          <w:sz w:val="24"/>
        </w:rPr>
        <w:t>A comparação esclarece duas escolhas do protocolo: investigar o modelo de acesso e verificar a justificativa apresentada. Uma interface escolar aberta a aplicativos e uma exportação necessária à troca integral são situações diferentes. Em ambas, a avaliação deve confrontar risco específico, mitigação, custo e alternativa praticável. A solução da origem pode produzir eficiências, mas sua arquitetura não deve ser adotada como prova suficiente de necessidade.</w:t>
      </w:r>
    </w:p>
    <w:p>
      <w:pPr>
        <w:keepNext w:val="0"/>
        <w:widowControl/>
        <w:spacing w:before="0" w:after="0" w:line="360" w:lineRule="auto"/>
        <w:ind w:left="0" w:right="0" w:firstLine="0"/>
        <w:jc w:val="both"/>
      </w:pPr>
      <w:r>
        <w:rPr>
          <w:rFonts w:ascii="Times New Roman" w:hAnsi="Times New Roman"/>
          <w:color w:val="000000"/>
          <w:sz w:val="24"/>
        </w:rPr>
        <w:t>O efeito líquido exige considerar usuários, qualidade e inovação. Uma abertura excessiva pode elevar exposição de dados e custo de segurança; uma interface estável pode repartir custos de integração. A proposta procura preservar o nível de proteção exigível com a menor restrição viável à escolha. Havendo diferença entre acesso próprio e rival, devem-se controlar função e risco antes de inferir discriminação.</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6.3. Exemplo integrado e medida proporcional</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Considere um exemplo hipotético, sem atribuição aos fornecedores citados: a plataforma de origem condiciona a entrega do dicionário de campos e dos vínculos de avaliações à contratação de seu próprio serviço de migração. A escola dispõe de dez dias para iniciar a rotina. Uma plataforma rival já demonstrou importar o conjunto mínimo, reconstruir permissões e executar a tarefa com proteção. Com a condição, a espera pelo serviço obrigatório leva a treze dias; com documentação e exportação restrita, o mesmo destino leva oito. Custos totais são iguais por hipótese, para isolar o prazo; não se trata de resultado dos 34 testes.</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 origem justifica a condição pelo risco de exposição de avaliações e associação de registros ao estudante errado. A resposta proporcional é testar entrega documentada a destinatário autorizado, conferência dos vínculos, validação antes do uso e revogação dos acessos de implantação. O RFC 9700 recomenda limitar privilégios aos recursos e ações necessários (IETF, 2025, seção 2.3); senhas e tokens anteriores não integram os dados transferidos. A medida substitui a contratação exclusiva por critérios de aceitação verificáveis, preservando a proteção. Sua implementação exige responsável, custo e prazo de cumprimento.</w:t>
      </w:r>
    </w:p>
    <w:p>
      <w:pPr>
        <w:keepNext w:val="0"/>
        <w:widowControl/>
        <w:spacing w:before="0" w:after="0" w:line="360" w:lineRule="auto"/>
        <w:ind w:left="0" w:right="0" w:firstLine="0"/>
        <w:jc w:val="both"/>
      </w:pPr>
      <w:r>
        <w:rPr>
          <w:rFonts w:ascii="Times New Roman" w:hAnsi="Times New Roman"/>
          <w:color w:val="000000"/>
          <w:sz w:val="24"/>
        </w:rPr>
        <w:t>Sob essas premissas, a rival entra no conjunto de ofertas utilizáveis: M passa de −3 a 2 dias. Pode-se comparar sua proposta, sem obrigação de escolhê-la. Mais pessoal junto à retirada da condição impede atribuição isolada; falha de proteção impede a operação, ainda que barata e pontual. Correção contratual e infração econômica exigem fundamentos distintos.</w:t>
      </w:r>
    </w:p>
    <w:p>
      <w:pPr>
        <w:keepNext w:val="0"/>
        <w:widowControl/>
        <w:spacing w:before="0" w:after="0" w:line="360" w:lineRule="auto"/>
        <w:ind w:left="0" w:right="0" w:firstLine="0"/>
        <w:jc w:val="both"/>
      </w:pPr>
      <w:r>
        <w:rPr>
          <w:rFonts w:ascii="Times New Roman" w:hAnsi="Times New Roman"/>
          <w:color w:val="000000"/>
          <w:sz w:val="24"/>
        </w:rPr>
        <w:t>A medida deve especificar campos, vínculos, finalidade, destinatário, prazo e teste de aceitação, com correção das falhas e término dos acessos temporários. O dicionário pode ser entregue sob confidencialidade, sem código-fonte. Se a solução elevar custos, comparam-se o acréscimo, o risco residual e alternativas como operação paralela ou transição por etapas. A obrigação de resultado protetivo admite meios diferentes; exigir a tecnologia exclusiva da origem só se sustenta se alternativas adequadas forem efetivamente afastadas.</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7. Diversidade, inclusão e condições de substituição</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Custos fixos de integração podem reduzir o interesse por contratos menores; reconstruções e atendimento podem recair sobre famílias. A dimensão étnico-racial integra a política de redução das desigualdades digitais (Brasil, 2026, art. 4º, IX). Para aproximar esse problema do público escolar, reanalisaram-se os microdados da TIC Domicílios 2024 (NIC.br, 2024).</w:t>
      </w:r>
    </w:p>
    <w:p>
      <w:pPr>
        <w:keepNext w:val="0"/>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O recorte reúne 1.530 respondentes de 10 a 17 anos que estudavam, dos quais 1.363 usaram Internet nos três meses anteriores. O indicador identifica celular sem computador, podendo coexistir com outros dispositivos. Aplicaram-se o peso individual e 200 réplicas bootstrap, com fator de variância do objeto oficial RData e intervalos normais de 95%. Antes da análise, foram reproduzidos os percentuais e as margens oficiais do C16A para o total e três grupos raciais. Os 167 não usuários permanecem fora desse denominador.</w:t>
      </w:r>
    </w:p>
    <w:p>
      <w:pPr>
        <w:keepNext w:val="0"/>
        <w:widowControl/>
        <w:spacing w:before="0" w:after="0" w:line="360" w:lineRule="auto"/>
        <w:ind w:left="0" w:right="0" w:firstLine="0"/>
        <w:jc w:val="both"/>
      </w:pPr>
      <w:r>
        <w:rPr>
          <w:rFonts w:ascii="Times New Roman" w:hAnsi="Times New Roman"/>
          <w:color w:val="000000"/>
          <w:sz w:val="24"/>
        </w:rPr>
        <w:t>Entre estudantes usuários, as estimativas foram 53,4% para brancos (n = 349; IC95%: 42,5–64,3), 57,7% para pretos (n = 156; 42,2–73,2) e 69,9% para pardos (n = 767; 61,9–77,9). Os outros 91 registros correspondem a amarelos, indígenas ou ausência de resposta racial, detalhados no suplemento. A diferença parda–branca foi de 16,5 pontos percentuais (IC95%: 3,1–29,9); a preta–branca, de 4,3 (−13,9–22,4). Portanto, esta última comparação é inconclusiva; os grupos não sustentam uma conclusão racial uniforme.</w:t>
      </w:r>
    </w:p>
    <w:p>
      <w:pPr>
        <w:keepNext w:val="0"/>
        <w:widowControl/>
        <w:spacing w:before="0" w:after="0" w:line="360" w:lineRule="auto"/>
        <w:ind w:left="0" w:right="0" w:firstLine="0"/>
        <w:jc w:val="both"/>
      </w:pPr>
      <w:r>
        <w:rPr>
          <w:rFonts w:ascii="Times New Roman" w:hAnsi="Times New Roman"/>
          <w:color w:val="000000"/>
          <w:sz w:val="24"/>
        </w:rPr>
        <w:t>As diferenças foram calculadas em cada réplica, preservando a covariância. São contrastes descritivos exploratórios, sem correção por comparações múltiplas. A estratificação por renda manteve intervalos amplos e não identifica efeito racial independente. O recorte não abrange responsáveis ou todos os estudantes brasileiros. Tampouco mede migração: indica condições prévias de acesso. A exigência de recadastro incompatível com celular pode impor trabalho adicional, mas seu efeito deve ser medido contra a permanência, incluindo quem não consegue concluir a tarefa.</w:t>
      </w:r>
    </w:p>
    <w:p>
      <w:pPr>
        <w:keepNext w:val="0"/>
        <w:widowControl/>
        <w:spacing w:before="0" w:after="0" w:line="360" w:lineRule="auto"/>
        <w:ind w:left="0" w:right="0" w:firstLine="0"/>
        <w:jc w:val="both"/>
      </w:pPr>
      <w:r>
        <w:rPr>
          <w:rFonts w:ascii="Times New Roman" w:hAnsi="Times New Roman"/>
          <w:color w:val="000000"/>
          <w:sz w:val="24"/>
        </w:rPr>
        <w:t>O protocolo deve testar a tarefa em celular e sua acessibilidade, registrando conclusão, abandono, tempo e necessidade de apoio. A contratação deve atribuir responsável e custo ao atendimento assistido; sua eficácia ainda precisa ser observada. Esses critérios respondem às condições de acesso, sem presumir incapacidade de usuários negros. Recortes raciais adicionais exigem necessidade, base jurídica e proteção contra reidentificação. Preservar evidência de classificação discriminatória não autoriza reutilizá-la contra o estudante.</w:t>
      </w:r>
    </w:p>
    <w:p>
      <w:pPr>
        <w:keepNext/>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8. Conclusão</w:t>
      </w:r>
    </w:p>
    <w:p>
      <w:pPr>
        <w:keepNext w:val="0"/>
        <w:widowControl/>
        <w:spacing w:before="0" w:after="0" w:line="360" w:lineRule="auto"/>
        <w:ind w:left="0" w:right="0" w:firstLine="0"/>
        <w:jc w:val="both"/>
      </w:pPr>
      <w:r>
        <w:rPr>
          <w:rFonts w:ascii="Times New Roman" w:hAnsi="Times New Roman"/>
          <w:color w:val="000000"/>
          <w:sz w:val="24"/>
        </w:rPr>
        <w:t>A transição escolar se completa quando os dados voltam a servir à comunidade com as proteções exigíveis. Nos serviços abrangidos, o ECA Digital orienta essa avaliação sem impor a tecnologia anterior como padrão. A análise concorrencial acrescenta outra pergunta: uma condição evitável reduz as alternativas que a instituição pode utilizar? A resposta depende de seus fundamentos, alcance e justificativas.</w:t>
      </w:r>
    </w:p>
    <w:p>
      <w:pPr>
        <w:keepNext w:val="0"/>
        <w:widowControl/>
        <w:spacing w:before="0" w:after="0" w:line="360" w:lineRule="auto"/>
        <w:ind w:left="0" w:right="0" w:firstLine="0"/>
        <w:jc w:val="both"/>
      </w:pPr>
      <w:r>
        <w:rPr>
          <w:rFonts w:ascii="Times New Roman" w:hAnsi="Times New Roman"/>
          <w:color w:val="000000"/>
          <w:sz w:val="24"/>
        </w:rPr>
        <w:t>A comparação ESS/SIMS esclarece o uso decisório: evidência suficiente para reabrir a escolha pode ser insuficiente para aceitar a migração; alternativas observadas podem justificar reavaliar a intervenção sem demonstrar proteção equivalente. O protocolo explicita essas diferenças e as lacunas que cada decisão precisa enfrentar. Trata-se de aplicação retrospectiva, sem comprovar adoção pela autoridade ou melhoria causal das decisões.</w:t>
      </w:r>
    </w:p>
    <w:p>
      <w:pPr>
        <w:spacing w:before="0" w:after="0" w:line="360" w:lineRule="auto"/>
        <w:ind w:firstLine="0" w:left="0" w:right="0"/>
        <w:jc w:val="both"/>
      </w:pPr>
      <w:r>
        <w:rPr>
          <w:rFonts w:ascii="Times New Roman" w:hAnsi="Times New Roman"/>
          <w:color w:val="000000"/>
          <w:sz w:val="24"/>
        </w:rPr>
        <w:t>Os 34 testes sintéticos examinam a lógica; as restaurações Moodle verificam controles, e o ciclo de correção demonstra como o acesso indevido impede a aceitação de dados íntegros. A reanálise identifica desigualdades e comparações inconclusivas, sem presumir causalidade racial ou restrição concorrencial.</w:t>
      </w:r>
    </w:p>
    <w:p>
      <w:pPr>
        <w:keepNext w:val="0"/>
        <w:widowControl/>
        <w:spacing w:before="0" w:after="0" w:line="360" w:lineRule="auto"/>
        <w:ind w:left="0" w:right="0" w:firstLine="0"/>
        <w:jc w:val="both"/>
      </w:pPr>
      <w:r>
        <w:rPr>
          <w:rFonts w:ascii="Times New Roman" w:hAnsi="Times New Roman"/>
          <w:color w:val="000000"/>
          <w:sz w:val="24"/>
        </w:rPr>
        <w:t>Há execução documentada em laboratório e aplicação analítica a decisões existentes. A utilidade em escolas requer observar proteção, continuidade, custo e escolha contratual. A conclusão reproduzível é delimitada: aceitar a transição exige verificar os registros e o que o destino permite fazer com eles.</w:t>
      </w:r>
    </w:p>
    <w:p>
      <w:pPr>
        <w:keepNext/>
        <w:pageBreakBefore/>
        <w:widowControl/>
        <w:spacing w:before="0" w:after="0" w:line="360" w:lineRule="auto"/>
        <w:ind w:left="0" w:right="0" w:firstLine="0"/>
        <w:jc w:val="both"/>
      </w:pPr>
      <w:r>
        <w:rPr>
          <w:rFonts w:ascii="Times New Roman" w:hAnsi="Times New Roman" w:eastAsia="Times New Roman" w:cs="Times New Roman"/>
          <w:b w:val="0"/>
          <w:i/>
          <w:color w:val="000000"/>
          <w:sz w:val="24"/>
          <w:lang w:val="pt-BR"/>
        </w:rPr>
        <w:t>Referências</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ALFREDO CHAVES (ES). Prefeitura Municipal. Edital de Pregão Presencial nº 015/2020. Processo Administrativo nº 5888/2020. Anexo I: termo de referência; Anexo VIII: minuta de contrato. Alfredo Chaves, 2020. Disponível em: https://s3.amazonaws.com/el.com.br/portal/uploads/1804/arquivos/B7CCE05F18506E46132759F56669A961.pdf.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ANPD — AUTORIDADE NACIONAL DE PROTEÇÃO DE DADOS. Enunciado CD/ANPD nº 1, de 22 de maio de 2023. Disponível em: https://bibliotecadigital.mj.gov.br/bitstream/1/10215/2/Enunciado_ANPD_2023_1.html.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BRASIL. Decreto nº 12.880, de 18 de março de 2026. Regulamenta a Lei nº 15.211/2025. Disponível em: https://www.planalto.gov.br/ccivil_03/_ato2023-2026/2026/decreto/d12880.htm.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BRASIL. Lei nº 12.529, de 30 de novembro de 2011. Estrutura o Sistema Brasileiro de Defesa da Concorrência. Texto consolidado. Disponível em: https://www.planalto.gov.br/ccivil_03/_ato2011-2014/2011/lei/l12529.htm.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BRASIL. Lei nº 13.709, de 14 de agosto de 2018. Lei Geral de Proteção de Dados Pessoais (LGPD). Texto consolidado. Disponível em: https://www.planalto.gov.br/ccivil_03/_ato2015-2018/2018/lei/l13709compilado.htm.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BRASIL. Lei nº 15.211, de 17 de setembro de 2025. Estatuto Digital da Criança e do Adolescente. Texto consolidado. Disponível em: https://www.planalto.gov.br/ccivil_03/_ato2023-2026/2025/lei/l15211.htm.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CMA — COMPETITION AND MARKETS AUTHORITY. Decision to accept binding commitments from Education Software Solutions Ltd. Case 51140. 10 jan. 2023a. Disponível em: https://assets.publishing.service.gov.uk/media/63bc2ee28fa8f55e34975780/Decision_to_accept_commitments_offered_by_ESS.pdf. (Acesso em: 8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CMA — COMPETITION AND MARKETS AUTHORITY. Case 51140: Annex and appendices. Appendix 3A: instructions on applying for a new break clause, itens 11–26. 10 jan. 2023b. Disponível em: https://assets.publishing.service.gov.uk/media/63bc28138fa8f55e35d1b100/Annex_and_appendices_.pdf. (Acesso em: 7 out. 2026).</w:t>
      </w:r>
    </w:p>
    <w:p>
      <w:pPr>
        <w:keepNext w:val="0"/>
        <w:keepLines/>
        <w:widowControl/>
        <w:spacing w:before="0" w:after="0" w:line="360" w:lineRule="auto"/>
        <w:ind w:left="0" w:right="0" w:firstLine="0"/>
        <w:jc w:val="both"/>
      </w:pPr>
      <w:r>
        <w:rPr>
          <w:rFonts w:ascii="Times New Roman" w:hAnsi="Times New Roman"/>
          <w:sz w:val="24"/>
        </w:rPr>
        <w:t>CMA — COMPETITION AND MARKETS AUTHORITY. Case 51427: statement regarding the decision to close an investigation on the grounds of administrative priority. 29 ago. 2024. Disponível em: https://assets.publishing.service.gov.uk/media/66d03a52a7256f1cd83a8a45/__Case_closure_statement__.pdf. (Acesso em: 8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FARRELL, Joseph; KLEMPERER, Paul. Coordination and lock-in: competition with switching costs and network effects. Working paper, versão de maio de 2006. Disponível em: https://www.nuff.ox.ac.uk/economics/papers/2006/w7/Farrell_KlempererWP.pdf.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GOOGLE. Export your data from Google Classroom. Classroom Help, [s.d.]. Disponível em: https://support.google.com/edu/classroom/answer/10204459?hl=en.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GOOGLE. Rubrics structure and known limitations. Google for Developers. Atualizado em 3 set. 2026. Disponível em: https://developers.google.com/workspace/classroom/rubrics/limitations.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IETF — INTERNET ENGINEERING TASK FORCE. RFC 9700: Best Current Practice for OAuth 2.0 Security. BCP 240. Jan. 2025. DOI: https://doi.org/10.17487/RFC9700. Disponível em: https://www.rfc-editor.org/rfc/rfc9700.html.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IFAL — INSTITUTO FEDERAL DE ALAGOAS. Campus Penedo. Cursos. [s.d.]. Disponível em: https://www2.ifal.edu.br/campus/penedo/ensino/cursos.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IFAL — INSTITUTO FEDERAL DE ALAGOAS. CRA orienta estudantes do Ifal Penedo sobre envio de justificativa de faltas. 18 jun. 2026a. Disponível em: https://www2.ifal.edu.br/campus/penedo/noticias/cra-orienta-estudantes-do-ifal-penedo-sobre-justificativa-de-faltas-em-novo-sistema.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IFAL — INSTITUTO FEDERAL DE ALAGOAS. CRA orienta que justificativa de faltas seja registrada diretamente no SUAP. 17 set. 2026b. Disponível em: https://www2.ifal.edu.br/campus/penedo/noticias/cra-orienta-que-justificativa-de-faltas-seja-registrada-diretamente-no-suap. (Acesso em: 7 out. 2026).</w:t>
      </w:r>
    </w:p>
    <w:p>
      <w:pPr>
        <w:keepNext w:val="0"/>
        <w:keepLines/>
        <w:widowControl/>
        <w:spacing w:before="0" w:after="0" w:line="360" w:lineRule="auto"/>
        <w:ind w:left="0" w:right="0" w:firstLine="0"/>
        <w:jc w:val="both"/>
      </w:pPr>
      <w:r>
        <w:rPr>
          <w:rFonts w:ascii="Times New Roman" w:hAnsi="Times New Roman"/>
          <w:sz w:val="24"/>
        </w:rPr>
        <w:t>MOODLE. Course backup; Course restore; Assign roles. MoodleDocs 4.5, [s.d.]. Moodle 4.5.7, commit d1321ff0d53b1be617ccba1d0167fc30b539901c. Disponível em: https://docs.moodle.org/405/en/Course_backup; https://docs.moodle.org/405/en/Course_restore; https://docs.moodle.org/405/en/Assign_roles. (Acesso em: 8 out. 2026).</w:t>
      </w:r>
    </w:p>
    <w:p>
      <w:pPr>
        <w:keepNext w:val="0"/>
        <w:keepLines/>
        <w:widowControl/>
        <w:spacing w:before="0" w:after="0" w:line="360" w:lineRule="auto"/>
        <w:ind w:left="0" w:right="0" w:firstLine="0"/>
        <w:jc w:val="both"/>
      </w:pPr>
      <w:r>
        <w:rPr>
          <w:rFonts w:ascii="Times New Roman" w:hAnsi="Times New Roman"/>
          <w:color w:val="000000"/>
          <w:sz w:val="24"/>
        </w:rPr>
        <w:t>NIC.br — NÚCLEO DE INFORMAÇÃO E COORDENAÇÃO DO PONTO BR. TIC Domicílios 2024: indivíduos. Microdados CSV v1.0; objeto amostral RData v1.1; dicionário, relatório metodológico e tabelas C16A v1.1. São Paulo: NIC.br, 2024. Disponível em: https://cetic.br/pt/arquivos/domicilios/2024/individuos/. (Acesso em: 8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NICHOLAS, Gabriel; WEINBERG, Michael. Data portability and platform competition: is user data exported from Facebook actually useful to competitors? Nova York: Engelberg Center on Innovation Law &amp; Policy, NYU School of Law, nov. 2019. Disponível em: https://corpus.nyuengelberg.org/doc/5870390c8c6f/. (Acesso em: 6 out. 2026).</w:t>
      </w:r>
    </w:p>
    <w:p>
      <w:pPr>
        <w:keepNext w:val="0"/>
        <w:keepLines/>
        <w:widowControl/>
        <w:spacing w:before="0" w:after="0" w:line="360" w:lineRule="auto"/>
        <w:ind w:left="0" w:right="0" w:firstLine="0"/>
        <w:jc w:val="both"/>
      </w:pPr>
      <w:r>
        <w:rPr>
          <w:rFonts w:ascii="Times New Roman" w:hAnsi="Times New Roman"/>
          <w:color w:val="000000"/>
          <w:sz w:val="24"/>
        </w:rPr>
        <w:t>OCDE — ORGANIZAÇÃO PARA A COOPERAÇÃO E DESENVOLVIMENTO ECONÔMICO. Data portability, interoperability and competition. OECD Competition Committee Discussion Paper. Paris: OECD, 2021. Disponível em: https://www.oecd.org/content/dam/oecd/en/publications/reports/2021/10/data-portability-interoperability-and-competition_f09a402e/73a083a9-en.pdf.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PONCE, Paula Pedigoni. Direito à portabilidade de dados: entre a proteção de dados e a concorrência. Revista de Defesa da Concorrência, Brasília, v. 8, n. 1, p. 134–176, 2020. Disponível em: https://revista.cade.gov.br/index.php/revistadedefesadaconcorrencia/article/view/521. (Acesso em: 6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SÁ-SILVA, Jackson Ronie; ALMEIDA, Cristóvão Domingos de; GUINDANI, Joel Felipe. Pesquisa documental: pistas teóricas e metodológicas. Revista Brasileira de História &amp; Ciências Sociais, v. 1, n. 1, p. 1–15, 2009. DOI: https://doi.org/10.63595/rbhcs.v1i1.10351. Disponível em: https://periodicos.furg.br/rbhcs/article/download/10351/pdf. (Acesso em: 7 out. 2026).</w:t>
      </w:r>
    </w:p>
    <w:p>
      <w:pPr>
        <w:keepLines/>
        <w:spacing w:before="0" w:after="0" w:line="360" w:lineRule="auto"/>
        <w:ind w:firstLine="0" w:left="0" w:right="0"/>
        <w:jc w:val="both"/>
      </w:pPr>
      <w:r>
        <w:rPr>
          <w:rFonts w:ascii="Times New Roman" w:hAnsi="Times New Roman"/>
          <w:color w:val="000000"/>
          <w:sz w:val="24"/>
        </w:rPr>
        <w:t>TJUE — TRIBUNAL DE JUSTIÇA DA UNIÃO EUROPEIA. Meta Platforms Inc. e outros contra Bundeskartellamt. Processo C-252/21. Acórdão da Grande Secção, 4 jul. 2023. ECLI:EU:C:2023:537, §§ 48–63. Disponível em: https://eur-lex.europa.eu/legal-content/EN/TXT/?uri=CELEX:62021CJ0252. (Acesso em: 7 out. 2026).</w:t>
      </w:r>
    </w:p>
    <w:p>
      <w:pPr>
        <w:keepLines/>
        <w:spacing w:before="0" w:after="0" w:line="360" w:lineRule="auto"/>
        <w:ind w:firstLine="0" w:left="0" w:right="0"/>
        <w:jc w:val="both"/>
      </w:pPr>
      <w:r>
        <w:rPr>
          <w:rFonts w:ascii="Times New Roman" w:hAnsi="Times New Roman"/>
          <w:sz w:val="24"/>
        </w:rPr>
        <w:t>TJUE — TRIBUNAL DE JUSTIÇA DA UNIÃO EUROPEIA. Alphabet e outros (Android Auto), C-233/23. Acórdão de 25 fev. 2025. ECLI:EU:C:2025:110. Disponível em: https://eur-lex.europa.eu/legal-content/PT/TXT/?uri=CELEX:62023CJ0233. (Acesso em: 7 out. 2026).</w:t>
      </w:r>
    </w:p>
    <w:p>
      <w:pPr>
        <w:keepNext w:val="0"/>
        <w:keepLines/>
        <w:widowControl/>
        <w:spacing w:before="0" w:after="0" w:line="360" w:lineRule="auto"/>
        <w:ind w:left="0" w:right="0" w:firstLine="0"/>
        <w:jc w:val="both"/>
      </w:pPr>
      <w:r>
        <w:rPr>
          <w:rFonts w:ascii="Times New Roman" w:hAnsi="Times New Roman" w:eastAsia="Times New Roman" w:cs="Times New Roman"/>
          <w:b w:val="0"/>
          <w:i w:val="0"/>
          <w:color w:val="000000"/>
          <w:sz w:val="24"/>
          <w:lang w:val="pt-BR"/>
        </w:rPr>
        <w:t>VINCENT-LANCRIN, Stéphan; GONZÁLEZ-SANCHO, Carlos. Interoperability: unifying and maximising data reuse within digital education ecosystems. In: OECD Digital Education Outlook 2023: towards an effective digital education ecosystem. Paris: OECD Publishing, 2023. Cap. 11. Disponível em: https://doi.org/10.1787/c74f03de-en. (Acesso em: 6 out. 2026).</w:t>
      </w:r>
    </w:p>
    <w:sectPr w:rsidR="00FC693F" w:rsidRPr="0006063C" w:rsidSect="00034616">
      <w:footerReference w:type="default" r:id="rId9"/>
      <w:pgSz w:w="11906" w:h="16838"/>
      <w:pgMar w:top="1134" w:right="1701" w:bottom="1701" w:left="1134" w:header="454" w:footer="79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Times New Roman" w:cs="Times New Roman"/>
        <w:b w:val="0"/>
        <w:i w:val="0"/>
        <w:color w:val="000000"/>
        <w:sz w:val="24"/>
        <w:lang w:val="pt-BR"/>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jc w:val="both"/>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imes New Roman" w:hAnsi="Times New Roman"/>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Times New Roman" w:hAnsi="Times New Roman"/>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Times New Roman" w:hAnsi="Times New Roman"/>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Times New Roman" w:hAnsi="Times New Roman"/>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Times New Roman" w:hAnsi="Times New Roman"/>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Times New Roman" w:hAnsi="Times New Roman"/>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olor w:val="000000"/>
      <w:sz w:val="24"/>
    </w:rPr>
  </w:style>
  <w:style w:type="paragraph" w:styleId="BodyText">
    <w:name w:val="Body Text"/>
    <w:basedOn w:val="Normal"/>
    <w:link w:val="BodyTextChar"/>
    <w:uiPriority w:val="99"/>
    <w:unhideWhenUsed/>
    <w:rsid w:val="00AA1D8D"/>
    <w:pPr>
      <w:spacing w:after="120"/>
    </w:pPr>
    <w:rPr>
      <w:rFonts w:ascii="Times New Roman" w:hAnsi="Times New Roman"/>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Times New Roman" w:hAnsi="Times New Roman"/>
      <w:color w:val="000000"/>
      <w:sz w:val="24"/>
    </w:rPr>
  </w:style>
  <w:style w:type="paragraph" w:styleId="List2">
    <w:name w:val="List 2"/>
    <w:basedOn w:val="Normal"/>
    <w:uiPriority w:val="99"/>
    <w:unhideWhenUsed/>
    <w:rsid w:val="00326F90"/>
    <w:pPr>
      <w:ind w:left="720" w:hanging="360"/>
      <w:contextualSpacing/>
    </w:pPr>
    <w:rPr>
      <w:rFonts w:ascii="Times New Roman" w:hAnsi="Times New Roman"/>
      <w:color w:val="000000"/>
      <w:sz w:val="24"/>
    </w:rPr>
  </w:style>
  <w:style w:type="paragraph" w:styleId="List3">
    <w:name w:val="List 3"/>
    <w:basedOn w:val="Normal"/>
    <w:uiPriority w:val="99"/>
    <w:unhideWhenUsed/>
    <w:rsid w:val="00326F90"/>
    <w:pPr>
      <w:ind w:left="1080" w:hanging="360"/>
      <w:contextualSpacing/>
    </w:pPr>
    <w:rPr>
      <w:rFonts w:ascii="Times New Roman" w:hAnsi="Times New Roman"/>
      <w:color w:val="000000"/>
      <w:sz w:val="24"/>
    </w:rPr>
  </w:style>
  <w:style w:type="paragraph" w:styleId="ListBullet">
    <w:name w:val="List Bullet"/>
    <w:basedOn w:val="Normal"/>
    <w:uiPriority w:val="99"/>
    <w:unhideWhenUsed/>
    <w:rsid w:val="00326F90"/>
    <w:pPr>
      <w:numPr>
        <w:numId w:val="1"/>
      </w:numPr>
      <w:contextualSpacing/>
    </w:pPr>
    <w:rPr>
      <w:rFonts w:ascii="Times New Roman" w:hAnsi="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color w:val="000000"/>
      <w:sz w:val="24"/>
    </w:rPr>
  </w:style>
  <w:style w:type="paragraph" w:styleId="ListBullet3">
    <w:name w:val="List Bullet 3"/>
    <w:basedOn w:val="Normal"/>
    <w:uiPriority w:val="99"/>
    <w:unhideWhenUsed/>
    <w:rsid w:val="00326F90"/>
    <w:pPr>
      <w:numPr>
        <w:numId w:val="3"/>
      </w:numPr>
      <w:contextualSpacing/>
    </w:pPr>
    <w:rPr>
      <w:rFonts w:ascii="Times New Roman" w:hAnsi="Times New Roman"/>
      <w:color w:val="000000"/>
      <w:sz w:val="24"/>
    </w:rPr>
  </w:style>
  <w:style w:type="paragraph" w:styleId="ListNumber">
    <w:name w:val="List Number"/>
    <w:basedOn w:val="Normal"/>
    <w:uiPriority w:val="99"/>
    <w:unhideWhenUsed/>
    <w:rsid w:val="00326F90"/>
    <w:pPr>
      <w:numPr>
        <w:numId w:val="5"/>
      </w:numPr>
      <w:contextualSpacing/>
    </w:pPr>
    <w:rPr>
      <w:rFonts w:ascii="Times New Roman" w:hAnsi="Times New Roman"/>
      <w:color w:val="000000"/>
      <w:sz w:val="24"/>
    </w:rPr>
  </w:style>
  <w:style w:type="paragraph" w:styleId="ListNumber2">
    <w:name w:val="List Number 2"/>
    <w:basedOn w:val="Normal"/>
    <w:uiPriority w:val="99"/>
    <w:unhideWhenUsed/>
    <w:rsid w:val="0029639D"/>
    <w:pPr>
      <w:numPr>
        <w:numId w:val="6"/>
      </w:numPr>
      <w:contextualSpacing/>
    </w:pPr>
    <w:rPr>
      <w:rFonts w:ascii="Times New Roman" w:hAnsi="Times New Roman"/>
      <w:color w:val="000000"/>
      <w:sz w:val="24"/>
    </w:rPr>
  </w:style>
  <w:style w:type="paragraph" w:styleId="ListNumber3">
    <w:name w:val="List Number 3"/>
    <w:basedOn w:val="Normal"/>
    <w:uiPriority w:val="99"/>
    <w:unhideWhenUsed/>
    <w:rsid w:val="0029639D"/>
    <w:pPr>
      <w:numPr>
        <w:numId w:val="7"/>
      </w:numPr>
      <w:contextualSpacing/>
    </w:pPr>
    <w:rPr>
      <w:rFonts w:ascii="Times New Roman" w:hAnsi="Times New Roman"/>
      <w:color w:val="000000"/>
      <w:sz w:val="24"/>
    </w:rPr>
  </w:style>
  <w:style w:type="paragraph" w:styleId="ListContinue">
    <w:name w:val="List Continue"/>
    <w:basedOn w:val="Normal"/>
    <w:uiPriority w:val="99"/>
    <w:unhideWhenUsed/>
    <w:rsid w:val="0029639D"/>
    <w:pPr>
      <w:spacing w:after="120"/>
      <w:ind w:left="360"/>
      <w:contextualSpacing/>
    </w:pPr>
    <w:rPr>
      <w:rFonts w:ascii="Times New Roman" w:hAnsi="Times New Roman"/>
      <w:color w:val="000000"/>
      <w:sz w:val="24"/>
    </w:rPr>
  </w:style>
  <w:style w:type="paragraph" w:styleId="ListContinue2">
    <w:name w:val="List Continue 2"/>
    <w:basedOn w:val="Normal"/>
    <w:uiPriority w:val="99"/>
    <w:unhideWhenUsed/>
    <w:rsid w:val="0029639D"/>
    <w:pPr>
      <w:spacing w:after="120"/>
      <w:ind w:left="720"/>
      <w:contextualSpacing/>
    </w:pPr>
    <w:rPr>
      <w:rFonts w:ascii="Times New Roman" w:hAnsi="Times New Roman"/>
      <w:color w:val="000000"/>
      <w:sz w:val="24"/>
    </w:rPr>
  </w:style>
  <w:style w:type="paragraph" w:styleId="ListContinue3">
    <w:name w:val="List Continue 3"/>
    <w:basedOn w:val="Normal"/>
    <w:uiPriority w:val="99"/>
    <w:unhideWhenUsed/>
    <w:rsid w:val="0029639D"/>
    <w:pPr>
      <w:spacing w:after="120"/>
      <w:ind w:left="1080"/>
      <w:contextualSpacing/>
    </w:pPr>
    <w:rPr>
      <w:rFonts w:ascii="Times New Roman" w:hAnsi="Times New Roman"/>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Times New Roman" w:hAnsi="Times New Roman"/>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b/>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ECA Digital na transição de dados escolares: portabilidade e concorrência entre plataformas e aplicativos</dc:title>
  <dc:subject/>
  <dc:creator/>
  <cp:keywords/>
  <dc:description/>
  <cp:lastModifiedBy/>
  <cp:revision>1</cp:revision>
  <dcterms:created xsi:type="dcterms:W3CDTF">2026-10-06T18:00:00Z</dcterms:created>
  <dcterms:modified xsi:type="dcterms:W3CDTF">2026-10-07T18:39:23Z</dcterms:modified>
  <cp:category/>
  <dc:identifier/>
</cp:coreProperties>
</file>